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Y="-254"/>
        <w:tblW w:w="15701" w:type="dxa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126"/>
        <w:gridCol w:w="1742"/>
        <w:gridCol w:w="1042"/>
        <w:gridCol w:w="1018"/>
        <w:gridCol w:w="1018"/>
      </w:tblGrid>
      <w:tr w:rsidR="000417BD" w:rsidRPr="003F4B75" w:rsidTr="00730BA2">
        <w:tc>
          <w:tcPr>
            <w:tcW w:w="15701" w:type="dxa"/>
            <w:gridSpan w:val="8"/>
            <w:shd w:val="clear" w:color="auto" w:fill="8064A2" w:themeFill="accent4"/>
          </w:tcPr>
          <w:p w:rsidR="000417BD" w:rsidRDefault="000417BD" w:rsidP="00730BA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ab/>
            </w:r>
            <w:r w:rsidRPr="003F4B75">
              <w:rPr>
                <w:b/>
                <w:color w:val="FFFFFF" w:themeColor="background1"/>
                <w:sz w:val="32"/>
                <w:szCs w:val="32"/>
              </w:rPr>
              <w:t>WORKFORCE RACE EQUALITIES STANDARD – ACTION PLAN 2017</w:t>
            </w:r>
            <w:r w:rsidR="00730BA2">
              <w:rPr>
                <w:b/>
                <w:color w:val="FFFFFF" w:themeColor="background1"/>
                <w:sz w:val="32"/>
                <w:szCs w:val="32"/>
              </w:rPr>
              <w:t>/18</w:t>
            </w:r>
            <w:r w:rsidR="00837346">
              <w:rPr>
                <w:b/>
                <w:color w:val="FFFFFF" w:themeColor="background1"/>
                <w:sz w:val="32"/>
                <w:szCs w:val="32"/>
              </w:rPr>
              <w:t xml:space="preserve"> (Updated January 2018)</w:t>
            </w:r>
          </w:p>
        </w:tc>
      </w:tr>
      <w:tr w:rsidR="007C3825" w:rsidRPr="003F4B75" w:rsidTr="00BA3D6D">
        <w:trPr>
          <w:trHeight w:val="443"/>
        </w:trPr>
        <w:tc>
          <w:tcPr>
            <w:tcW w:w="3510" w:type="dxa"/>
            <w:vMerge w:val="restart"/>
            <w:shd w:val="clear" w:color="auto" w:fill="8064A2" w:themeFill="accent4"/>
          </w:tcPr>
          <w:p w:rsidR="00195188" w:rsidRPr="000417BD" w:rsidRDefault="00195188" w:rsidP="00505A8C">
            <w:pPr>
              <w:rPr>
                <w:color w:val="FFFFFF" w:themeColor="background1"/>
                <w:sz w:val="18"/>
                <w:szCs w:val="18"/>
              </w:rPr>
            </w:pPr>
            <w:r w:rsidRPr="000417BD">
              <w:rPr>
                <w:color w:val="FFFFFF" w:themeColor="background1"/>
                <w:sz w:val="18"/>
                <w:szCs w:val="18"/>
              </w:rPr>
              <w:t>WRES INDICATOR</w:t>
            </w:r>
          </w:p>
        </w:tc>
        <w:tc>
          <w:tcPr>
            <w:tcW w:w="2835" w:type="dxa"/>
            <w:vMerge w:val="restart"/>
            <w:shd w:val="clear" w:color="auto" w:fill="8064A2" w:themeFill="accent4"/>
          </w:tcPr>
          <w:p w:rsidR="00195188" w:rsidRPr="000417BD" w:rsidRDefault="00195188" w:rsidP="00505A8C">
            <w:pPr>
              <w:rPr>
                <w:color w:val="FFFFFF" w:themeColor="background1"/>
                <w:sz w:val="18"/>
                <w:szCs w:val="18"/>
              </w:rPr>
            </w:pPr>
            <w:r w:rsidRPr="000417BD">
              <w:rPr>
                <w:color w:val="FFFFFF" w:themeColor="background1"/>
                <w:sz w:val="18"/>
                <w:szCs w:val="18"/>
              </w:rPr>
              <w:t>NATIONAL POSITION</w:t>
            </w:r>
            <w:r w:rsidR="00B4204B">
              <w:rPr>
                <w:color w:val="FFFFFF" w:themeColor="background1"/>
                <w:sz w:val="18"/>
                <w:szCs w:val="18"/>
              </w:rPr>
              <w:t xml:space="preserve"> (FROM NHS WRES DATA ANALYSIS REPORT FROM 2017 SUBMISSION </w:t>
            </w:r>
            <w:r w:rsidR="00761C44">
              <w:rPr>
                <w:color w:val="FFFFFF" w:themeColor="background1"/>
                <w:sz w:val="18"/>
                <w:szCs w:val="18"/>
              </w:rPr>
              <w:t>– dated December 2017)</w:t>
            </w:r>
          </w:p>
        </w:tc>
        <w:tc>
          <w:tcPr>
            <w:tcW w:w="2410" w:type="dxa"/>
            <w:vMerge w:val="restart"/>
            <w:shd w:val="clear" w:color="auto" w:fill="8064A2" w:themeFill="accent4"/>
          </w:tcPr>
          <w:p w:rsidR="00195188" w:rsidRPr="000417BD" w:rsidRDefault="00195188" w:rsidP="00505A8C">
            <w:pPr>
              <w:rPr>
                <w:color w:val="FFFFFF" w:themeColor="background1"/>
                <w:sz w:val="18"/>
                <w:szCs w:val="18"/>
              </w:rPr>
            </w:pPr>
            <w:r w:rsidRPr="000417BD">
              <w:rPr>
                <w:color w:val="FFFFFF" w:themeColor="background1"/>
                <w:sz w:val="18"/>
                <w:szCs w:val="18"/>
              </w:rPr>
              <w:t>HOW OUR TRUST COMPARES TO NATIONAL POSITION</w:t>
            </w:r>
            <w:r w:rsidR="007C3825">
              <w:rPr>
                <w:color w:val="FFFFFF" w:themeColor="background1"/>
                <w:sz w:val="18"/>
                <w:szCs w:val="18"/>
              </w:rPr>
              <w:t xml:space="preserve"> (AS AT 31 MARCH 2017)</w:t>
            </w:r>
          </w:p>
        </w:tc>
        <w:tc>
          <w:tcPr>
            <w:tcW w:w="2126" w:type="dxa"/>
            <w:vMerge w:val="restart"/>
            <w:shd w:val="clear" w:color="auto" w:fill="8064A2" w:themeFill="accent4"/>
          </w:tcPr>
          <w:p w:rsidR="00195188" w:rsidRPr="000417BD" w:rsidRDefault="00EA4025" w:rsidP="00505A8C">
            <w:pPr>
              <w:rPr>
                <w:color w:val="FFFFFF" w:themeColor="background1"/>
                <w:sz w:val="18"/>
                <w:szCs w:val="18"/>
              </w:rPr>
            </w:pPr>
            <w:r w:rsidRPr="00EA4025">
              <w:rPr>
                <w:color w:val="FFFFFF" w:themeColor="background1"/>
                <w:sz w:val="18"/>
                <w:szCs w:val="18"/>
              </w:rPr>
              <w:t>HOW OUR TRUST COMPARES WITH IT’S OWN POSITION ON 31 MARCH 2016</w:t>
            </w:r>
          </w:p>
        </w:tc>
        <w:tc>
          <w:tcPr>
            <w:tcW w:w="1742" w:type="dxa"/>
            <w:vMerge w:val="restart"/>
            <w:shd w:val="clear" w:color="auto" w:fill="8064A2" w:themeFill="accent4"/>
          </w:tcPr>
          <w:p w:rsidR="00195188" w:rsidRPr="000417BD" w:rsidRDefault="00195188" w:rsidP="00505A8C">
            <w:pPr>
              <w:rPr>
                <w:color w:val="FFFFFF" w:themeColor="background1"/>
                <w:sz w:val="18"/>
                <w:szCs w:val="18"/>
              </w:rPr>
            </w:pPr>
            <w:r w:rsidRPr="000417BD">
              <w:rPr>
                <w:color w:val="FFFFFF" w:themeColor="background1"/>
                <w:sz w:val="18"/>
                <w:szCs w:val="18"/>
              </w:rPr>
              <w:t>ACTION – BY WHOM AND TIMESCALE</w:t>
            </w:r>
          </w:p>
        </w:tc>
        <w:tc>
          <w:tcPr>
            <w:tcW w:w="3078" w:type="dxa"/>
            <w:gridSpan w:val="3"/>
            <w:shd w:val="clear" w:color="auto" w:fill="8064A2" w:themeFill="accent4"/>
          </w:tcPr>
          <w:p w:rsidR="00195188" w:rsidRDefault="00E30F22" w:rsidP="0019518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PROGRESS AS AT:</w:t>
            </w:r>
          </w:p>
          <w:p w:rsidR="00195188" w:rsidRPr="000417BD" w:rsidRDefault="00195188" w:rsidP="0019518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(RAG RATED)</w:t>
            </w:r>
          </w:p>
        </w:tc>
      </w:tr>
      <w:tr w:rsidR="007C3825" w:rsidRPr="003F4B75" w:rsidTr="00BA3D6D">
        <w:trPr>
          <w:trHeight w:val="442"/>
        </w:trPr>
        <w:tc>
          <w:tcPr>
            <w:tcW w:w="3510" w:type="dxa"/>
            <w:vMerge/>
            <w:shd w:val="clear" w:color="auto" w:fill="8064A2" w:themeFill="accent4"/>
          </w:tcPr>
          <w:p w:rsidR="00195188" w:rsidRPr="000417BD" w:rsidRDefault="00195188" w:rsidP="00505A8C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8064A2" w:themeFill="accent4"/>
          </w:tcPr>
          <w:p w:rsidR="00195188" w:rsidRPr="000417BD" w:rsidRDefault="00195188" w:rsidP="00505A8C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8064A2" w:themeFill="accent4"/>
          </w:tcPr>
          <w:p w:rsidR="00195188" w:rsidRPr="000417BD" w:rsidRDefault="00195188" w:rsidP="00505A8C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8064A2" w:themeFill="accent4"/>
          </w:tcPr>
          <w:p w:rsidR="00195188" w:rsidRPr="000417BD" w:rsidRDefault="00195188" w:rsidP="00505A8C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8064A2" w:themeFill="accent4"/>
          </w:tcPr>
          <w:p w:rsidR="00195188" w:rsidRPr="000417BD" w:rsidRDefault="00195188" w:rsidP="00505A8C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9BBB59" w:themeFill="accent3"/>
          </w:tcPr>
          <w:p w:rsidR="00195188" w:rsidRDefault="00195188" w:rsidP="0019518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KEY:</w:t>
            </w:r>
          </w:p>
          <w:p w:rsidR="00195188" w:rsidRDefault="00195188" w:rsidP="0019518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COMPLETE</w:t>
            </w:r>
            <w:r w:rsidR="003C6DC1">
              <w:rPr>
                <w:color w:val="FFFFFF" w:themeColor="background1"/>
                <w:sz w:val="18"/>
                <w:szCs w:val="18"/>
              </w:rPr>
              <w:t xml:space="preserve"> OR ON TRACK</w:t>
            </w:r>
          </w:p>
        </w:tc>
        <w:tc>
          <w:tcPr>
            <w:tcW w:w="1018" w:type="dxa"/>
            <w:shd w:val="clear" w:color="auto" w:fill="F79646" w:themeFill="accent6"/>
          </w:tcPr>
          <w:p w:rsidR="00195188" w:rsidRDefault="00195188" w:rsidP="0019518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PROGRESS MADE</w:t>
            </w:r>
          </w:p>
        </w:tc>
        <w:tc>
          <w:tcPr>
            <w:tcW w:w="1018" w:type="dxa"/>
            <w:shd w:val="clear" w:color="auto" w:fill="FF0000"/>
          </w:tcPr>
          <w:p w:rsidR="00195188" w:rsidRDefault="00195188" w:rsidP="0019518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NO PROGRESS</w:t>
            </w:r>
          </w:p>
        </w:tc>
      </w:tr>
      <w:tr w:rsidR="00B93330" w:rsidRPr="003F4B75" w:rsidTr="00BA3D6D">
        <w:tc>
          <w:tcPr>
            <w:tcW w:w="3510" w:type="dxa"/>
          </w:tcPr>
          <w:p w:rsidR="00B93330" w:rsidRPr="000417BD" w:rsidRDefault="00B93330" w:rsidP="002126AB">
            <w:pPr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>% of BME staff in Bands 8-9, VSM (in</w:t>
            </w:r>
            <w:r w:rsidR="002126AB">
              <w:rPr>
                <w:sz w:val="18"/>
                <w:szCs w:val="18"/>
              </w:rPr>
              <w:t>cluding executive Board members</w:t>
            </w:r>
            <w:r w:rsidRPr="000417BD">
              <w:rPr>
                <w:sz w:val="18"/>
                <w:szCs w:val="18"/>
              </w:rPr>
              <w:t>) compared to % of BME staff in the workforce</w:t>
            </w:r>
          </w:p>
        </w:tc>
        <w:tc>
          <w:tcPr>
            <w:tcW w:w="2835" w:type="dxa"/>
            <w:shd w:val="clear" w:color="auto" w:fill="FFFFFF" w:themeFill="background1"/>
          </w:tcPr>
          <w:p w:rsidR="00B93330" w:rsidRPr="000417BD" w:rsidRDefault="00B93330" w:rsidP="00D82874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>Nationally</w:t>
            </w:r>
            <w:r w:rsidR="00D82874">
              <w:rPr>
                <w:sz w:val="18"/>
                <w:szCs w:val="18"/>
              </w:rPr>
              <w:t xml:space="preserve"> the number of VSMs from BME backgrounds increased by 18% from 2016 to 2017.  This is 7% of all VSMs which remains significantly lower than BME representation in the overall NHS workforce (18%) and the local communities served (12%)</w:t>
            </w:r>
            <w:r w:rsidR="008269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79646" w:themeFill="accent6"/>
          </w:tcPr>
          <w:p w:rsidR="00B93330" w:rsidRPr="00681505" w:rsidRDefault="00CE5A13" w:rsidP="00D82874">
            <w:pPr>
              <w:rPr>
                <w:sz w:val="18"/>
              </w:rPr>
            </w:pPr>
            <w:r w:rsidRPr="00681505">
              <w:rPr>
                <w:sz w:val="18"/>
              </w:rPr>
              <w:t>W</w:t>
            </w:r>
            <w:r w:rsidR="00B93330" w:rsidRPr="00681505">
              <w:rPr>
                <w:sz w:val="18"/>
              </w:rPr>
              <w:t xml:space="preserve">e have </w:t>
            </w:r>
            <w:r w:rsidR="00C81709" w:rsidRPr="00681505">
              <w:rPr>
                <w:sz w:val="18"/>
              </w:rPr>
              <w:t>7.2</w:t>
            </w:r>
            <w:r w:rsidRPr="00681505">
              <w:rPr>
                <w:sz w:val="18"/>
              </w:rPr>
              <w:t xml:space="preserve">% </w:t>
            </w:r>
            <w:r w:rsidR="00B93330" w:rsidRPr="00681505">
              <w:rPr>
                <w:sz w:val="18"/>
              </w:rPr>
              <w:t xml:space="preserve">BME managers </w:t>
            </w:r>
            <w:r w:rsidRPr="00681505">
              <w:rPr>
                <w:sz w:val="18"/>
              </w:rPr>
              <w:t xml:space="preserve">(excluding M&amp;D) </w:t>
            </w:r>
            <w:r w:rsidR="00B93330" w:rsidRPr="00681505">
              <w:rPr>
                <w:sz w:val="18"/>
              </w:rPr>
              <w:t>compared to 12.7% of workforce</w:t>
            </w:r>
            <w:r w:rsidRPr="00681505">
              <w:rPr>
                <w:sz w:val="18"/>
              </w:rPr>
              <w:t>.</w:t>
            </w:r>
            <w:r w:rsidR="00046803">
              <w:rPr>
                <w:sz w:val="18"/>
              </w:rPr>
              <w:t xml:space="preserve"> This is an improving position </w:t>
            </w:r>
            <w:r w:rsidR="00D82874">
              <w:rPr>
                <w:sz w:val="18"/>
              </w:rPr>
              <w:t>and is slightly better than national average.</w:t>
            </w:r>
          </w:p>
        </w:tc>
        <w:tc>
          <w:tcPr>
            <w:tcW w:w="2126" w:type="dxa"/>
            <w:shd w:val="clear" w:color="auto" w:fill="F79646" w:themeFill="accent6"/>
          </w:tcPr>
          <w:p w:rsidR="00B93330" w:rsidRPr="00681505" w:rsidRDefault="00681505" w:rsidP="00681505">
            <w:pPr>
              <w:rPr>
                <w:sz w:val="18"/>
              </w:rPr>
            </w:pPr>
            <w:r>
              <w:rPr>
                <w:sz w:val="18"/>
              </w:rPr>
              <w:t>Percentage of BME managers has improved marginally,</w:t>
            </w:r>
            <w:r w:rsidR="00942F90" w:rsidRPr="00681505">
              <w:rPr>
                <w:sz w:val="18"/>
              </w:rPr>
              <w:t xml:space="preserve"> previously 6.1%</w:t>
            </w:r>
            <w:r w:rsidR="00B93330" w:rsidRPr="00681505">
              <w:rPr>
                <w:sz w:val="18"/>
              </w:rPr>
              <w:t>.</w:t>
            </w:r>
          </w:p>
        </w:tc>
        <w:tc>
          <w:tcPr>
            <w:tcW w:w="1742" w:type="dxa"/>
            <w:shd w:val="clear" w:color="auto" w:fill="auto"/>
          </w:tcPr>
          <w:p w:rsidR="00B93330" w:rsidRPr="00681505" w:rsidRDefault="00046803" w:rsidP="00046803">
            <w:pPr>
              <w:rPr>
                <w:sz w:val="18"/>
              </w:rPr>
            </w:pPr>
            <w:r>
              <w:rPr>
                <w:sz w:val="18"/>
              </w:rPr>
              <w:t>Keep under review</w:t>
            </w:r>
            <w:r w:rsidR="00D82874">
              <w:rPr>
                <w:sz w:val="18"/>
              </w:rPr>
              <w:t xml:space="preserve"> – aim for 12.7% in line with BME workforce. </w:t>
            </w:r>
          </w:p>
        </w:tc>
        <w:tc>
          <w:tcPr>
            <w:tcW w:w="3078" w:type="dxa"/>
            <w:gridSpan w:val="3"/>
            <w:shd w:val="clear" w:color="auto" w:fill="9BBB59" w:themeFill="accent3"/>
          </w:tcPr>
          <w:p w:rsidR="00B93330" w:rsidRPr="00046803" w:rsidRDefault="00046803" w:rsidP="00195188">
            <w:pPr>
              <w:rPr>
                <w:i/>
                <w:sz w:val="18"/>
                <w:szCs w:val="18"/>
              </w:rPr>
            </w:pPr>
            <w:r w:rsidRPr="00046803">
              <w:rPr>
                <w:i/>
                <w:sz w:val="18"/>
                <w:szCs w:val="18"/>
              </w:rPr>
              <w:t>Deb Drew – March 2018</w:t>
            </w:r>
          </w:p>
        </w:tc>
      </w:tr>
      <w:tr w:rsidR="007C3825" w:rsidRPr="003F4B75" w:rsidTr="00BA3D6D">
        <w:tc>
          <w:tcPr>
            <w:tcW w:w="3510" w:type="dxa"/>
          </w:tcPr>
          <w:p w:rsidR="000417BD" w:rsidRPr="000417BD" w:rsidRDefault="000417BD" w:rsidP="00505A8C">
            <w:pPr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>Relative likelihood of BME staff being appointed from shortlisting compared to that of white staff</w:t>
            </w:r>
          </w:p>
        </w:tc>
        <w:tc>
          <w:tcPr>
            <w:tcW w:w="2835" w:type="dxa"/>
          </w:tcPr>
          <w:p w:rsidR="000417BD" w:rsidRPr="000417BD" w:rsidRDefault="000417BD" w:rsidP="00194313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 xml:space="preserve">Nationally white applicants are </w:t>
            </w:r>
            <w:r w:rsidR="00194313">
              <w:rPr>
                <w:sz w:val="18"/>
                <w:szCs w:val="18"/>
              </w:rPr>
              <w:t>1.60 times more likely</w:t>
            </w:r>
            <w:r w:rsidRPr="000417BD">
              <w:rPr>
                <w:sz w:val="18"/>
                <w:szCs w:val="18"/>
              </w:rPr>
              <w:t xml:space="preserve"> </w:t>
            </w:r>
            <w:r w:rsidR="00232D30">
              <w:rPr>
                <w:sz w:val="18"/>
                <w:szCs w:val="18"/>
              </w:rPr>
              <w:t xml:space="preserve">(improved from 1.7 times) </w:t>
            </w:r>
            <w:r w:rsidRPr="000417BD">
              <w:rPr>
                <w:sz w:val="18"/>
                <w:szCs w:val="18"/>
              </w:rPr>
              <w:t>to be appointed than BME</w:t>
            </w:r>
            <w:r w:rsidR="00194313">
              <w:rPr>
                <w:sz w:val="18"/>
                <w:szCs w:val="18"/>
              </w:rPr>
              <w:t xml:space="preserve"> shortlisted applicants, who continue to remain absent from senior grades within AfC pay bands.</w:t>
            </w:r>
          </w:p>
        </w:tc>
        <w:tc>
          <w:tcPr>
            <w:tcW w:w="2410" w:type="dxa"/>
            <w:shd w:val="clear" w:color="auto" w:fill="F79646" w:themeFill="accent6"/>
          </w:tcPr>
          <w:p w:rsidR="000417BD" w:rsidRPr="000417BD" w:rsidRDefault="000417BD" w:rsidP="00194313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 xml:space="preserve">We </w:t>
            </w:r>
            <w:r w:rsidR="00194313">
              <w:rPr>
                <w:sz w:val="18"/>
                <w:szCs w:val="18"/>
              </w:rPr>
              <w:t xml:space="preserve">were </w:t>
            </w:r>
            <w:r w:rsidRPr="000417BD">
              <w:rPr>
                <w:sz w:val="18"/>
                <w:szCs w:val="18"/>
              </w:rPr>
              <w:t>broadly the same as national at 1.</w:t>
            </w:r>
            <w:r w:rsidR="007C3825">
              <w:rPr>
                <w:sz w:val="18"/>
                <w:szCs w:val="18"/>
              </w:rPr>
              <w:t>76</w:t>
            </w:r>
            <w:r w:rsidRPr="000417BD">
              <w:rPr>
                <w:sz w:val="18"/>
                <w:szCs w:val="18"/>
              </w:rPr>
              <w:t xml:space="preserve"> times more likely</w:t>
            </w:r>
            <w:r w:rsidR="00194313">
              <w:rPr>
                <w:sz w:val="18"/>
                <w:szCs w:val="18"/>
              </w:rPr>
              <w:t>.  However, the national position has improved to 1.60 times more likely for white shortlisted applicants to be appointed.</w:t>
            </w:r>
          </w:p>
        </w:tc>
        <w:tc>
          <w:tcPr>
            <w:tcW w:w="2126" w:type="dxa"/>
            <w:shd w:val="clear" w:color="auto" w:fill="9BBB59" w:themeFill="accent3"/>
          </w:tcPr>
          <w:p w:rsidR="000417BD" w:rsidRPr="000417BD" w:rsidRDefault="000417BD" w:rsidP="007C3825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 xml:space="preserve">Slight </w:t>
            </w:r>
            <w:r w:rsidR="007C3825">
              <w:rPr>
                <w:sz w:val="18"/>
                <w:szCs w:val="18"/>
              </w:rPr>
              <w:t xml:space="preserve">improvement from </w:t>
            </w:r>
            <w:r w:rsidRPr="000417BD">
              <w:rPr>
                <w:sz w:val="18"/>
                <w:szCs w:val="18"/>
              </w:rPr>
              <w:t>1.8</w:t>
            </w:r>
            <w:r w:rsidR="004F28DC">
              <w:rPr>
                <w:sz w:val="18"/>
                <w:szCs w:val="18"/>
              </w:rPr>
              <w:t>5</w:t>
            </w:r>
            <w:r w:rsidRPr="000417BD">
              <w:rPr>
                <w:sz w:val="18"/>
                <w:szCs w:val="18"/>
              </w:rPr>
              <w:t xml:space="preserve"> times more likely</w:t>
            </w:r>
          </w:p>
        </w:tc>
        <w:tc>
          <w:tcPr>
            <w:tcW w:w="1742" w:type="dxa"/>
            <w:shd w:val="clear" w:color="auto" w:fill="auto"/>
          </w:tcPr>
          <w:p w:rsidR="000417BD" w:rsidRPr="000417BD" w:rsidRDefault="007C3825" w:rsidP="00505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417BD" w:rsidRPr="000417BD">
              <w:rPr>
                <w:sz w:val="18"/>
                <w:szCs w:val="18"/>
              </w:rPr>
              <w:t>nalyse whether this is in particular staff groups, grades, or departments.</w:t>
            </w:r>
          </w:p>
          <w:p w:rsidR="000417BD" w:rsidRPr="000417BD" w:rsidRDefault="000417BD" w:rsidP="000417BD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9BBB59" w:themeFill="accent3"/>
          </w:tcPr>
          <w:p w:rsidR="000417BD" w:rsidRPr="00046803" w:rsidRDefault="00046803" w:rsidP="00505A8C">
            <w:pPr>
              <w:rPr>
                <w:i/>
                <w:sz w:val="18"/>
                <w:szCs w:val="18"/>
              </w:rPr>
            </w:pPr>
            <w:r w:rsidRPr="00046803">
              <w:rPr>
                <w:i/>
                <w:sz w:val="18"/>
                <w:szCs w:val="18"/>
              </w:rPr>
              <w:t>Deb Drew – February 2018</w:t>
            </w:r>
          </w:p>
        </w:tc>
      </w:tr>
      <w:tr w:rsidR="007C3825" w:rsidRPr="003F4B75" w:rsidTr="00BA3D6D">
        <w:tc>
          <w:tcPr>
            <w:tcW w:w="3510" w:type="dxa"/>
          </w:tcPr>
          <w:p w:rsidR="000417BD" w:rsidRPr="000417BD" w:rsidRDefault="000417BD" w:rsidP="00505A8C">
            <w:pPr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>Relative likelihood of BME staff entering the formal disciplinary process, compared to that of white staff entering the formal disciplinary process, as measured by entry into a formal disciplinary investigation</w:t>
            </w:r>
          </w:p>
          <w:p w:rsidR="000417BD" w:rsidRPr="000417BD" w:rsidRDefault="000417BD" w:rsidP="00505A8C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417BD" w:rsidRPr="000417BD" w:rsidRDefault="000417BD" w:rsidP="00854E14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 xml:space="preserve">Nationally BME staff are </w:t>
            </w:r>
            <w:r w:rsidR="00854E14">
              <w:rPr>
                <w:sz w:val="18"/>
                <w:szCs w:val="18"/>
              </w:rPr>
              <w:t xml:space="preserve">1.37 times more likely to </w:t>
            </w:r>
            <w:r w:rsidRPr="000417BD">
              <w:rPr>
                <w:sz w:val="18"/>
                <w:szCs w:val="18"/>
              </w:rPr>
              <w:t>enter disciplinary process and more likely to be disciplined</w:t>
            </w:r>
            <w:r w:rsidR="00854E14">
              <w:rPr>
                <w:sz w:val="18"/>
                <w:szCs w:val="18"/>
              </w:rPr>
              <w:t xml:space="preserve"> which is an improvement on last year</w:t>
            </w:r>
          </w:p>
        </w:tc>
        <w:tc>
          <w:tcPr>
            <w:tcW w:w="2410" w:type="dxa"/>
            <w:shd w:val="clear" w:color="auto" w:fill="FF0000"/>
          </w:tcPr>
          <w:p w:rsidR="000417BD" w:rsidRPr="000417BD" w:rsidRDefault="000417BD" w:rsidP="00E30F22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>Our BME staff are 1.</w:t>
            </w:r>
            <w:r w:rsidR="007C3825">
              <w:rPr>
                <w:sz w:val="18"/>
                <w:szCs w:val="18"/>
              </w:rPr>
              <w:t>79</w:t>
            </w:r>
            <w:r w:rsidRPr="000417BD">
              <w:rPr>
                <w:sz w:val="18"/>
                <w:szCs w:val="18"/>
              </w:rPr>
              <w:t xml:space="preserve"> times more likely to enter disci</w:t>
            </w:r>
            <w:r w:rsidR="00854E14">
              <w:rPr>
                <w:sz w:val="18"/>
                <w:szCs w:val="18"/>
              </w:rPr>
              <w:t>plinary process which is worse than national position.</w:t>
            </w:r>
          </w:p>
        </w:tc>
        <w:tc>
          <w:tcPr>
            <w:tcW w:w="2126" w:type="dxa"/>
            <w:shd w:val="clear" w:color="auto" w:fill="F79646" w:themeFill="accent6"/>
          </w:tcPr>
          <w:p w:rsidR="000417BD" w:rsidRPr="000417BD" w:rsidRDefault="000417BD" w:rsidP="007C3825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 xml:space="preserve">Decline from </w:t>
            </w:r>
            <w:r w:rsidR="007C3825">
              <w:rPr>
                <w:sz w:val="18"/>
                <w:szCs w:val="18"/>
              </w:rPr>
              <w:t>2016 position which was 1.5 times more likely.</w:t>
            </w:r>
          </w:p>
        </w:tc>
        <w:tc>
          <w:tcPr>
            <w:tcW w:w="1742" w:type="dxa"/>
            <w:shd w:val="clear" w:color="auto" w:fill="auto"/>
          </w:tcPr>
          <w:p w:rsidR="000417BD" w:rsidRPr="000417BD" w:rsidRDefault="000417BD" w:rsidP="00505A8C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>Monitor – aim to be equal numbers of BME and white entering process.</w:t>
            </w:r>
          </w:p>
          <w:p w:rsidR="000417BD" w:rsidRPr="000417BD" w:rsidRDefault="000417BD" w:rsidP="00505A8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9BBB59" w:themeFill="accent3"/>
          </w:tcPr>
          <w:p w:rsidR="000417BD" w:rsidRPr="00046803" w:rsidRDefault="00046803" w:rsidP="00505A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Deb Drew/</w:t>
            </w:r>
            <w:r w:rsidRPr="00046803">
              <w:rPr>
                <w:i/>
                <w:sz w:val="18"/>
                <w:szCs w:val="18"/>
              </w:rPr>
              <w:t>Natalie Wurmli – March 2018</w:t>
            </w:r>
          </w:p>
        </w:tc>
      </w:tr>
      <w:tr w:rsidR="007C3825" w:rsidRPr="003F4B75" w:rsidTr="00BA3D6D">
        <w:tc>
          <w:tcPr>
            <w:tcW w:w="3510" w:type="dxa"/>
          </w:tcPr>
          <w:p w:rsidR="000417BD" w:rsidRPr="000E4FCF" w:rsidRDefault="000417BD" w:rsidP="000E4FCF">
            <w:pPr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>Relative likelihood of BME staff accessing non-mandatory training and CPD compared to white staff</w:t>
            </w:r>
          </w:p>
        </w:tc>
        <w:tc>
          <w:tcPr>
            <w:tcW w:w="2835" w:type="dxa"/>
          </w:tcPr>
          <w:p w:rsidR="000417BD" w:rsidRPr="000417BD" w:rsidRDefault="000417BD" w:rsidP="00DC57DC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 xml:space="preserve">Nationally </w:t>
            </w:r>
            <w:r w:rsidR="00DC57DC">
              <w:rPr>
                <w:sz w:val="18"/>
                <w:szCs w:val="18"/>
              </w:rPr>
              <w:t xml:space="preserve">white staff were 1.22 times more likely to access non-mandatory training than </w:t>
            </w:r>
            <w:r w:rsidRPr="000417BD">
              <w:rPr>
                <w:sz w:val="18"/>
                <w:szCs w:val="18"/>
              </w:rPr>
              <w:t xml:space="preserve">BME </w:t>
            </w:r>
            <w:r w:rsidR="00DC57DC">
              <w:rPr>
                <w:sz w:val="18"/>
                <w:szCs w:val="18"/>
              </w:rPr>
              <w:t>staff.</w:t>
            </w:r>
          </w:p>
        </w:tc>
        <w:tc>
          <w:tcPr>
            <w:tcW w:w="2410" w:type="dxa"/>
            <w:shd w:val="clear" w:color="auto" w:fill="9BBB59" w:themeFill="accent3"/>
          </w:tcPr>
          <w:p w:rsidR="000417BD" w:rsidRPr="000417BD" w:rsidRDefault="000417BD" w:rsidP="00046803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 xml:space="preserve">Our BME staff </w:t>
            </w:r>
            <w:r w:rsidR="004F28DC" w:rsidRPr="000417BD">
              <w:rPr>
                <w:sz w:val="18"/>
                <w:szCs w:val="18"/>
              </w:rPr>
              <w:t xml:space="preserve">are </w:t>
            </w:r>
            <w:r w:rsidR="00046803" w:rsidRPr="00046803">
              <w:rPr>
                <w:sz w:val="18"/>
                <w:szCs w:val="18"/>
                <w:u w:val="single"/>
              </w:rPr>
              <w:t>more</w:t>
            </w:r>
            <w:r w:rsidRPr="00046803">
              <w:rPr>
                <w:sz w:val="18"/>
                <w:szCs w:val="18"/>
                <w:u w:val="single"/>
              </w:rPr>
              <w:t xml:space="preserve"> </w:t>
            </w:r>
            <w:r w:rsidRPr="000417BD">
              <w:rPr>
                <w:sz w:val="18"/>
                <w:szCs w:val="18"/>
              </w:rPr>
              <w:t>likely to access training</w:t>
            </w:r>
            <w:r w:rsidR="007C3825">
              <w:rPr>
                <w:sz w:val="18"/>
                <w:szCs w:val="18"/>
              </w:rPr>
              <w:t xml:space="preserve"> which is better than national </w:t>
            </w:r>
            <w:r w:rsidR="004F28DC">
              <w:rPr>
                <w:sz w:val="18"/>
                <w:szCs w:val="18"/>
              </w:rPr>
              <w:t>position (0.93).</w:t>
            </w:r>
            <w:r w:rsidR="004F28DC">
              <w:t xml:space="preserve"> </w:t>
            </w:r>
            <w:r w:rsidR="004F28DC" w:rsidRPr="004F28DC">
              <w:rPr>
                <w:sz w:val="18"/>
                <w:szCs w:val="18"/>
              </w:rPr>
              <w:t>The improvement may b</w:t>
            </w:r>
            <w:r w:rsidR="00E30F22">
              <w:rPr>
                <w:sz w:val="18"/>
                <w:szCs w:val="18"/>
              </w:rPr>
              <w:t xml:space="preserve">e a consequence of not including </w:t>
            </w:r>
            <w:r w:rsidR="004F28DC" w:rsidRPr="004F28DC">
              <w:rPr>
                <w:sz w:val="18"/>
                <w:szCs w:val="18"/>
              </w:rPr>
              <w:t>non-mandatory training in 2016 figure.</w:t>
            </w:r>
          </w:p>
        </w:tc>
        <w:tc>
          <w:tcPr>
            <w:tcW w:w="2126" w:type="dxa"/>
            <w:shd w:val="clear" w:color="auto" w:fill="9BBB59" w:themeFill="accent3"/>
          </w:tcPr>
          <w:p w:rsidR="000417BD" w:rsidRPr="000417BD" w:rsidRDefault="004F28DC" w:rsidP="004F28DC">
            <w:pPr>
              <w:rPr>
                <w:sz w:val="18"/>
                <w:szCs w:val="18"/>
              </w:rPr>
            </w:pPr>
            <w:r w:rsidRPr="004F28DC">
              <w:rPr>
                <w:sz w:val="18"/>
                <w:szCs w:val="18"/>
              </w:rPr>
              <w:t xml:space="preserve">The position has improved since 2015/16 (0.79) and demonstrates greater equality with regards to non-mandatory training &amp; CPD. </w:t>
            </w:r>
          </w:p>
        </w:tc>
        <w:tc>
          <w:tcPr>
            <w:tcW w:w="1742" w:type="dxa"/>
          </w:tcPr>
          <w:p w:rsidR="000417BD" w:rsidRPr="000417BD" w:rsidRDefault="000417BD" w:rsidP="00505A8C">
            <w:pPr>
              <w:rPr>
                <w:sz w:val="18"/>
                <w:szCs w:val="18"/>
              </w:rPr>
            </w:pPr>
            <w:r w:rsidRPr="000417BD">
              <w:rPr>
                <w:sz w:val="18"/>
                <w:szCs w:val="18"/>
              </w:rPr>
              <w:t>Monitor but unlikely to require additional action at this point.</w:t>
            </w:r>
          </w:p>
          <w:p w:rsidR="000417BD" w:rsidRPr="000417BD" w:rsidRDefault="000417BD" w:rsidP="00505A8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9BBB59" w:themeFill="accent3"/>
          </w:tcPr>
          <w:p w:rsidR="000E4FCF" w:rsidRPr="00046803" w:rsidRDefault="00046803" w:rsidP="00195188">
            <w:pPr>
              <w:rPr>
                <w:i/>
                <w:sz w:val="18"/>
                <w:szCs w:val="18"/>
              </w:rPr>
            </w:pPr>
            <w:r w:rsidRPr="00046803">
              <w:rPr>
                <w:i/>
                <w:sz w:val="18"/>
                <w:szCs w:val="18"/>
              </w:rPr>
              <w:t>Jo Chant – March 2018</w:t>
            </w:r>
          </w:p>
        </w:tc>
      </w:tr>
    </w:tbl>
    <w:p w:rsidR="00196243" w:rsidRDefault="00196243">
      <w:r>
        <w:br w:type="page"/>
      </w:r>
    </w:p>
    <w:tbl>
      <w:tblPr>
        <w:tblStyle w:val="TableGrid1"/>
        <w:tblpPr w:leftFromText="180" w:rightFromText="180" w:vertAnchor="text" w:horzAnchor="margin" w:tblpY="-254"/>
        <w:tblW w:w="15701" w:type="dxa"/>
        <w:tblLook w:val="04A0" w:firstRow="1" w:lastRow="0" w:firstColumn="1" w:lastColumn="0" w:noHBand="0" w:noVBand="1"/>
      </w:tblPr>
      <w:tblGrid>
        <w:gridCol w:w="3510"/>
        <w:gridCol w:w="2268"/>
        <w:gridCol w:w="2977"/>
        <w:gridCol w:w="1361"/>
        <w:gridCol w:w="2507"/>
        <w:gridCol w:w="1026"/>
        <w:gridCol w:w="1026"/>
        <w:gridCol w:w="1026"/>
      </w:tblGrid>
      <w:tr w:rsidR="000E4FCF" w:rsidRPr="003F4B75" w:rsidTr="00681505">
        <w:trPr>
          <w:trHeight w:val="367"/>
        </w:trPr>
        <w:tc>
          <w:tcPr>
            <w:tcW w:w="15701" w:type="dxa"/>
            <w:gridSpan w:val="8"/>
            <w:shd w:val="clear" w:color="auto" w:fill="8064A2" w:themeFill="accent4"/>
          </w:tcPr>
          <w:p w:rsidR="000E4FCF" w:rsidRDefault="000E4FCF" w:rsidP="00CD74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B75">
              <w:rPr>
                <w:b/>
                <w:color w:val="FFFFFF" w:themeColor="background1"/>
                <w:sz w:val="32"/>
                <w:szCs w:val="32"/>
              </w:rPr>
              <w:lastRenderedPageBreak/>
              <w:t>WORKFORCE RACE EQUALITIES STANDARD – ACTION PLAN 2017</w:t>
            </w:r>
            <w:r w:rsidR="00CD745F">
              <w:rPr>
                <w:b/>
                <w:color w:val="FFFFFF" w:themeColor="background1"/>
                <w:sz w:val="32"/>
                <w:szCs w:val="32"/>
              </w:rPr>
              <w:t>/18</w:t>
            </w:r>
          </w:p>
        </w:tc>
      </w:tr>
      <w:tr w:rsidR="00681505" w:rsidRPr="003F4B75" w:rsidTr="00DC57DC">
        <w:trPr>
          <w:trHeight w:val="773"/>
        </w:trPr>
        <w:tc>
          <w:tcPr>
            <w:tcW w:w="3510" w:type="dxa"/>
            <w:vMerge w:val="restart"/>
            <w:shd w:val="clear" w:color="auto" w:fill="8064A2" w:themeFill="accent4"/>
          </w:tcPr>
          <w:p w:rsidR="00681505" w:rsidRPr="000A29AD" w:rsidRDefault="00681505" w:rsidP="002C57F3">
            <w:pPr>
              <w:rPr>
                <w:color w:val="FFFFFF" w:themeColor="background1"/>
                <w:sz w:val="18"/>
                <w:szCs w:val="18"/>
              </w:rPr>
            </w:pPr>
            <w:r w:rsidRPr="000A29AD">
              <w:rPr>
                <w:color w:val="FFFFFF" w:themeColor="background1"/>
                <w:sz w:val="18"/>
                <w:szCs w:val="18"/>
              </w:rPr>
              <w:t>WRES INDICATOR</w:t>
            </w:r>
          </w:p>
        </w:tc>
        <w:tc>
          <w:tcPr>
            <w:tcW w:w="2268" w:type="dxa"/>
            <w:vMerge w:val="restart"/>
            <w:shd w:val="clear" w:color="auto" w:fill="8064A2" w:themeFill="accent4"/>
          </w:tcPr>
          <w:p w:rsidR="00681505" w:rsidRPr="000A29AD" w:rsidRDefault="00681505" w:rsidP="002C57F3">
            <w:pPr>
              <w:rPr>
                <w:color w:val="FFFFFF" w:themeColor="background1"/>
                <w:sz w:val="18"/>
                <w:szCs w:val="18"/>
              </w:rPr>
            </w:pPr>
            <w:r w:rsidRPr="000A29AD">
              <w:rPr>
                <w:color w:val="FFFFFF" w:themeColor="background1"/>
                <w:sz w:val="18"/>
                <w:szCs w:val="18"/>
              </w:rPr>
              <w:t>NATIONAL POSITION</w:t>
            </w:r>
          </w:p>
        </w:tc>
        <w:tc>
          <w:tcPr>
            <w:tcW w:w="2977" w:type="dxa"/>
            <w:vMerge w:val="restart"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 w:rsidRPr="000417BD">
              <w:rPr>
                <w:color w:val="FFFFFF" w:themeColor="background1"/>
                <w:sz w:val="18"/>
                <w:szCs w:val="18"/>
              </w:rPr>
              <w:t>HOW OUR TRUST COMPARES TO NATIONAL POSITION</w:t>
            </w:r>
            <w:r>
              <w:rPr>
                <w:color w:val="FFFFFF" w:themeColor="background1"/>
                <w:sz w:val="18"/>
                <w:szCs w:val="18"/>
              </w:rPr>
              <w:t xml:space="preserve"> (AS AT 31 MARCH 2017)</w:t>
            </w:r>
          </w:p>
        </w:tc>
        <w:tc>
          <w:tcPr>
            <w:tcW w:w="1361" w:type="dxa"/>
            <w:vMerge w:val="restart"/>
            <w:shd w:val="clear" w:color="auto" w:fill="8064A2" w:themeFill="accent4"/>
          </w:tcPr>
          <w:p w:rsidR="00681505" w:rsidRPr="000A29AD" w:rsidRDefault="00681505" w:rsidP="002C57F3">
            <w:pPr>
              <w:rPr>
                <w:color w:val="FFFFFF" w:themeColor="background1"/>
                <w:sz w:val="18"/>
                <w:szCs w:val="18"/>
              </w:rPr>
            </w:pPr>
            <w:r w:rsidRPr="00EA4025">
              <w:rPr>
                <w:color w:val="FFFFFF" w:themeColor="background1"/>
                <w:sz w:val="18"/>
                <w:szCs w:val="18"/>
              </w:rPr>
              <w:t>HOW OUR TRUST COMPARES WITH IT’S OWN POSITION ON 31 MARCH 2016</w:t>
            </w:r>
          </w:p>
        </w:tc>
        <w:tc>
          <w:tcPr>
            <w:tcW w:w="2507" w:type="dxa"/>
            <w:vMerge w:val="restart"/>
            <w:shd w:val="clear" w:color="auto" w:fill="8064A2" w:themeFill="accent4"/>
          </w:tcPr>
          <w:p w:rsidR="00681505" w:rsidRPr="000A29AD" w:rsidRDefault="00681505" w:rsidP="002C57F3">
            <w:pPr>
              <w:rPr>
                <w:color w:val="FFFFFF" w:themeColor="background1"/>
                <w:sz w:val="18"/>
                <w:szCs w:val="18"/>
              </w:rPr>
            </w:pPr>
            <w:r w:rsidRPr="000A29AD">
              <w:rPr>
                <w:color w:val="FFFFFF" w:themeColor="background1"/>
                <w:sz w:val="18"/>
                <w:szCs w:val="18"/>
              </w:rPr>
              <w:t>ACTION – BY WHOM AND TIMESCALE</w:t>
            </w:r>
          </w:p>
        </w:tc>
        <w:tc>
          <w:tcPr>
            <w:tcW w:w="3078" w:type="dxa"/>
            <w:gridSpan w:val="3"/>
            <w:shd w:val="clear" w:color="auto" w:fill="8064A2" w:themeFill="accent4"/>
          </w:tcPr>
          <w:p w:rsidR="00E30F22" w:rsidRDefault="00681505" w:rsidP="00E30F22">
            <w:pPr>
              <w:rPr>
                <w:color w:val="FFFFFF" w:themeColor="background1"/>
                <w:sz w:val="18"/>
                <w:szCs w:val="18"/>
              </w:rPr>
            </w:pPr>
            <w:r w:rsidRPr="000A29AD">
              <w:rPr>
                <w:color w:val="FFFFFF" w:themeColor="background1"/>
                <w:sz w:val="18"/>
                <w:szCs w:val="18"/>
              </w:rPr>
              <w:t xml:space="preserve">PROGRESS AS AT </w:t>
            </w:r>
            <w:r w:rsidR="00E30F22">
              <w:rPr>
                <w:color w:val="FFFFFF" w:themeColor="background1"/>
                <w:sz w:val="18"/>
                <w:szCs w:val="18"/>
              </w:rPr>
              <w:t xml:space="preserve">: </w:t>
            </w:r>
          </w:p>
          <w:p w:rsidR="00681505" w:rsidRPr="000A29AD" w:rsidRDefault="00E30F22" w:rsidP="00E30F2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RAG RATED</w:t>
            </w:r>
          </w:p>
        </w:tc>
      </w:tr>
      <w:tr w:rsidR="00681505" w:rsidRPr="003F4B75" w:rsidTr="00DC57DC">
        <w:trPr>
          <w:trHeight w:val="772"/>
        </w:trPr>
        <w:tc>
          <w:tcPr>
            <w:tcW w:w="3510" w:type="dxa"/>
            <w:vMerge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8064A2" w:themeFill="accent4"/>
          </w:tcPr>
          <w:p w:rsidR="00681505" w:rsidRPr="000417B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8064A2" w:themeFill="accent4"/>
          </w:tcPr>
          <w:p w:rsidR="00681505" w:rsidRPr="00EA402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07" w:type="dxa"/>
            <w:vMerge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9BBB59" w:themeFill="accent3"/>
          </w:tcPr>
          <w:p w:rsidR="0068150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KEY:</w:t>
            </w:r>
          </w:p>
          <w:p w:rsidR="0068150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COMPLETE</w:t>
            </w:r>
            <w:r w:rsidR="003C6DC1">
              <w:rPr>
                <w:color w:val="FFFFFF" w:themeColor="background1"/>
                <w:sz w:val="18"/>
                <w:szCs w:val="18"/>
              </w:rPr>
              <w:t xml:space="preserve"> OR ON TRACK</w:t>
            </w:r>
          </w:p>
        </w:tc>
        <w:tc>
          <w:tcPr>
            <w:tcW w:w="1026" w:type="dxa"/>
            <w:shd w:val="clear" w:color="auto" w:fill="F79646" w:themeFill="accent6"/>
          </w:tcPr>
          <w:p w:rsidR="0068150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PROGRESS MADE</w:t>
            </w:r>
          </w:p>
        </w:tc>
        <w:tc>
          <w:tcPr>
            <w:tcW w:w="1026" w:type="dxa"/>
            <w:shd w:val="clear" w:color="auto" w:fill="FF0000"/>
          </w:tcPr>
          <w:p w:rsidR="0068150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NO PROGRESS</w:t>
            </w:r>
          </w:p>
        </w:tc>
      </w:tr>
      <w:tr w:rsidR="007C3825" w:rsidRPr="003F4B75" w:rsidTr="00DC57DC">
        <w:trPr>
          <w:trHeight w:val="805"/>
        </w:trPr>
        <w:tc>
          <w:tcPr>
            <w:tcW w:w="3510" w:type="dxa"/>
            <w:vMerge w:val="restart"/>
          </w:tcPr>
          <w:p w:rsidR="00195188" w:rsidRPr="000417BD" w:rsidRDefault="00195188" w:rsidP="00505A8C">
            <w:pPr>
              <w:numPr>
                <w:ilvl w:val="0"/>
                <w:numId w:val="26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417BD">
              <w:rPr>
                <w:rFonts w:cstheme="minorHAnsi"/>
                <w:sz w:val="18"/>
                <w:szCs w:val="18"/>
              </w:rPr>
              <w:t>% of staff experiencing harassment, bullying or abuse from patients, relatives or the public in last 12 months</w:t>
            </w:r>
          </w:p>
        </w:tc>
        <w:tc>
          <w:tcPr>
            <w:tcW w:w="2268" w:type="dxa"/>
            <w:vMerge w:val="restart"/>
          </w:tcPr>
          <w:p w:rsidR="00195188" w:rsidRPr="000417BD" w:rsidRDefault="00195188" w:rsidP="00DC57DC">
            <w:pPr>
              <w:rPr>
                <w:rFonts w:cstheme="minorHAnsi"/>
                <w:sz w:val="18"/>
                <w:szCs w:val="18"/>
              </w:rPr>
            </w:pPr>
            <w:r w:rsidRPr="000417BD">
              <w:rPr>
                <w:rFonts w:cstheme="minorHAnsi"/>
                <w:sz w:val="18"/>
                <w:szCs w:val="18"/>
              </w:rPr>
              <w:t>Nationally 2</w:t>
            </w:r>
            <w:r w:rsidR="00DC57DC">
              <w:rPr>
                <w:rFonts w:cstheme="minorHAnsi"/>
                <w:sz w:val="18"/>
                <w:szCs w:val="18"/>
              </w:rPr>
              <w:t>9</w:t>
            </w:r>
            <w:r w:rsidRPr="000417BD">
              <w:rPr>
                <w:rFonts w:cstheme="minorHAnsi"/>
                <w:sz w:val="18"/>
                <w:szCs w:val="18"/>
              </w:rPr>
              <w:t>% for BME staff and 28% for white staff</w:t>
            </w:r>
            <w:r w:rsidR="00DC57DC">
              <w:rPr>
                <w:rFonts w:cstheme="minorHAnsi"/>
                <w:sz w:val="18"/>
                <w:szCs w:val="18"/>
              </w:rPr>
              <w:t xml:space="preserve"> which is a 1% deterioration from last year.</w:t>
            </w:r>
          </w:p>
        </w:tc>
        <w:tc>
          <w:tcPr>
            <w:tcW w:w="2977" w:type="dxa"/>
            <w:vMerge w:val="restart"/>
            <w:shd w:val="clear" w:color="auto" w:fill="9BBB59" w:themeFill="accent3"/>
          </w:tcPr>
          <w:p w:rsidR="00E30F22" w:rsidRDefault="00E30F22" w:rsidP="00E30F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25% of our </w:t>
            </w:r>
            <w:r w:rsidR="00195188" w:rsidRPr="000417BD">
              <w:rPr>
                <w:rFonts w:cstheme="minorHAnsi"/>
                <w:sz w:val="18"/>
                <w:szCs w:val="18"/>
              </w:rPr>
              <w:t xml:space="preserve">BME staff reported </w:t>
            </w:r>
            <w:r>
              <w:rPr>
                <w:rFonts w:cstheme="minorHAnsi"/>
                <w:sz w:val="18"/>
                <w:szCs w:val="18"/>
              </w:rPr>
              <w:t xml:space="preserve">that they had experienced harassment, bullying or abuse from patients in 2016 survey.  This </w:t>
            </w:r>
            <w:r w:rsidR="007C3825">
              <w:rPr>
                <w:rFonts w:cstheme="minorHAnsi"/>
                <w:sz w:val="18"/>
                <w:szCs w:val="18"/>
              </w:rPr>
              <w:t xml:space="preserve"> compared to </w:t>
            </w:r>
            <w:r w:rsidR="00195188" w:rsidRPr="000417BD">
              <w:rPr>
                <w:rFonts w:cstheme="minorHAnsi"/>
                <w:sz w:val="18"/>
                <w:szCs w:val="18"/>
              </w:rPr>
              <w:t>64%</w:t>
            </w:r>
            <w:r w:rsidR="007C3825">
              <w:rPr>
                <w:rFonts w:cstheme="minorHAnsi"/>
                <w:sz w:val="18"/>
                <w:szCs w:val="18"/>
              </w:rPr>
              <w:t xml:space="preserve"> in 2015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A653D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195188" w:rsidRPr="000417BD">
              <w:rPr>
                <w:rFonts w:cstheme="minorHAnsi"/>
                <w:sz w:val="18"/>
                <w:szCs w:val="18"/>
              </w:rPr>
              <w:t>hite</w:t>
            </w:r>
            <w:r>
              <w:rPr>
                <w:rFonts w:cstheme="minorHAnsi"/>
                <w:sz w:val="18"/>
                <w:szCs w:val="18"/>
              </w:rPr>
              <w:t xml:space="preserve"> staff</w:t>
            </w:r>
            <w:r w:rsidR="00195188" w:rsidRPr="000417BD">
              <w:rPr>
                <w:rFonts w:cstheme="minorHAnsi"/>
                <w:sz w:val="18"/>
                <w:szCs w:val="18"/>
              </w:rPr>
              <w:t xml:space="preserve"> reported </w:t>
            </w:r>
            <w:r w:rsidR="007C3825">
              <w:rPr>
                <w:rFonts w:cstheme="minorHAnsi"/>
                <w:sz w:val="18"/>
                <w:szCs w:val="18"/>
              </w:rPr>
              <w:t xml:space="preserve">32% compared to </w:t>
            </w:r>
            <w:r w:rsidR="00195188" w:rsidRPr="000417BD">
              <w:rPr>
                <w:rFonts w:cstheme="minorHAnsi"/>
                <w:sz w:val="18"/>
                <w:szCs w:val="18"/>
              </w:rPr>
              <w:t>39%</w:t>
            </w:r>
            <w:r w:rsidR="007C3825">
              <w:rPr>
                <w:rFonts w:cstheme="minorHAnsi"/>
                <w:sz w:val="18"/>
                <w:szCs w:val="18"/>
              </w:rPr>
              <w:t xml:space="preserve"> in 2015. </w:t>
            </w:r>
          </w:p>
          <w:p w:rsidR="00A653D7" w:rsidRPr="000417BD" w:rsidRDefault="007C3825" w:rsidP="00A653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This demonstrates that the 2015 results were skewed by a sample survey of 850 staff.  Full survey has corrected this and BME staff are now less likely to be harassed than white staff. Better than national position</w:t>
            </w:r>
          </w:p>
        </w:tc>
        <w:tc>
          <w:tcPr>
            <w:tcW w:w="1361" w:type="dxa"/>
            <w:vMerge w:val="restart"/>
            <w:shd w:val="clear" w:color="auto" w:fill="9BBB59" w:themeFill="accent3"/>
          </w:tcPr>
          <w:p w:rsidR="00195188" w:rsidRPr="000417BD" w:rsidRDefault="007C3825" w:rsidP="007C38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Reverted to previous position where </w:t>
            </w:r>
            <w:r w:rsidR="00195188" w:rsidRPr="000417BD">
              <w:rPr>
                <w:rFonts w:cstheme="minorHAnsi"/>
                <w:sz w:val="18"/>
                <w:szCs w:val="18"/>
              </w:rPr>
              <w:t xml:space="preserve"> our BME staff reported they were less likely than white staff to experience this</w:t>
            </w:r>
          </w:p>
        </w:tc>
        <w:tc>
          <w:tcPr>
            <w:tcW w:w="2507" w:type="dxa"/>
          </w:tcPr>
          <w:p w:rsidR="00E30F22" w:rsidRDefault="007C3825" w:rsidP="007C38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Continue with</w:t>
            </w:r>
            <w:r w:rsidR="00195188" w:rsidRPr="000417BD">
              <w:rPr>
                <w:rFonts w:cstheme="minorHAnsi"/>
                <w:sz w:val="18"/>
                <w:szCs w:val="18"/>
              </w:rPr>
              <w:t xml:space="preserve"> full SOS survey</w:t>
            </w:r>
            <w:r w:rsidR="00E30F22">
              <w:rPr>
                <w:rFonts w:cstheme="minorHAnsi"/>
                <w:sz w:val="18"/>
                <w:szCs w:val="18"/>
              </w:rPr>
              <w:t xml:space="preserve"> for 2017.</w:t>
            </w:r>
          </w:p>
          <w:p w:rsidR="00195188" w:rsidRPr="000417BD" w:rsidRDefault="00195188" w:rsidP="007C382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9BBB59" w:themeFill="accent3"/>
          </w:tcPr>
          <w:p w:rsidR="00195188" w:rsidRPr="00EE5318" w:rsidRDefault="00EE5318" w:rsidP="00EE5318">
            <w:pPr>
              <w:rPr>
                <w:rFonts w:cstheme="minorHAnsi"/>
                <w:i/>
                <w:sz w:val="18"/>
                <w:szCs w:val="18"/>
              </w:rPr>
            </w:pPr>
            <w:r w:rsidRPr="00EE5318">
              <w:rPr>
                <w:rFonts w:cstheme="minorHAnsi"/>
                <w:i/>
                <w:sz w:val="18"/>
                <w:szCs w:val="18"/>
              </w:rPr>
              <w:t>Deb</w:t>
            </w:r>
            <w:r w:rsidR="00E30F22" w:rsidRPr="00EE5318">
              <w:rPr>
                <w:rFonts w:cstheme="minorHAnsi"/>
                <w:i/>
                <w:sz w:val="18"/>
                <w:szCs w:val="18"/>
              </w:rPr>
              <w:t xml:space="preserve"> Drew – September 2017 commissioned full survey</w:t>
            </w:r>
          </w:p>
        </w:tc>
      </w:tr>
      <w:tr w:rsidR="007C3825" w:rsidRPr="003F4B75" w:rsidTr="00DC57DC">
        <w:trPr>
          <w:trHeight w:val="805"/>
        </w:trPr>
        <w:tc>
          <w:tcPr>
            <w:tcW w:w="3510" w:type="dxa"/>
            <w:vMerge/>
          </w:tcPr>
          <w:p w:rsidR="00195188" w:rsidRPr="000417BD" w:rsidRDefault="00195188" w:rsidP="00505A8C">
            <w:pPr>
              <w:numPr>
                <w:ilvl w:val="0"/>
                <w:numId w:val="26"/>
              </w:num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95188" w:rsidRPr="000417BD" w:rsidRDefault="00195188" w:rsidP="00505A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9BBB59" w:themeFill="accent3"/>
          </w:tcPr>
          <w:p w:rsidR="00195188" w:rsidRPr="000417BD" w:rsidRDefault="00195188" w:rsidP="00505A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9BBB59" w:themeFill="accent3"/>
          </w:tcPr>
          <w:p w:rsidR="00195188" w:rsidRPr="000417BD" w:rsidRDefault="00195188" w:rsidP="00505A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7" w:type="dxa"/>
          </w:tcPr>
          <w:p w:rsidR="00E30F22" w:rsidRPr="007C3825" w:rsidRDefault="00E30F22" w:rsidP="00E30F22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0417BD">
              <w:rPr>
                <w:rFonts w:cstheme="minorHAnsi"/>
                <w:sz w:val="18"/>
                <w:szCs w:val="18"/>
              </w:rPr>
              <w:t xml:space="preserve">rill this data down to identify problem departments or staff groups.  </w:t>
            </w:r>
          </w:p>
          <w:p w:rsidR="00195188" w:rsidRPr="000417BD" w:rsidRDefault="00195188" w:rsidP="00505A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9BBB59" w:themeFill="accent3"/>
          </w:tcPr>
          <w:p w:rsidR="00195188" w:rsidRPr="00EE5318" w:rsidRDefault="00EE5318" w:rsidP="00505A8C">
            <w:pPr>
              <w:rPr>
                <w:rFonts w:cstheme="minorHAnsi"/>
                <w:i/>
                <w:sz w:val="18"/>
                <w:szCs w:val="18"/>
              </w:rPr>
            </w:pPr>
            <w:r w:rsidRPr="00EE5318">
              <w:rPr>
                <w:rFonts w:cstheme="minorHAnsi"/>
                <w:i/>
                <w:sz w:val="18"/>
                <w:szCs w:val="18"/>
              </w:rPr>
              <w:t>Deb Drew – February 2018 once Staff Survey results are available</w:t>
            </w:r>
          </w:p>
        </w:tc>
      </w:tr>
      <w:tr w:rsidR="007C3825" w:rsidRPr="003F4B75" w:rsidTr="00DC57DC">
        <w:trPr>
          <w:trHeight w:val="805"/>
        </w:trPr>
        <w:tc>
          <w:tcPr>
            <w:tcW w:w="3510" w:type="dxa"/>
            <w:vMerge/>
          </w:tcPr>
          <w:p w:rsidR="00195188" w:rsidRPr="000417BD" w:rsidRDefault="00195188" w:rsidP="00505A8C">
            <w:pPr>
              <w:numPr>
                <w:ilvl w:val="0"/>
                <w:numId w:val="26"/>
              </w:num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95188" w:rsidRPr="000417BD" w:rsidRDefault="00195188" w:rsidP="00505A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9BBB59" w:themeFill="accent3"/>
          </w:tcPr>
          <w:p w:rsidR="00195188" w:rsidRPr="000417BD" w:rsidRDefault="00195188" w:rsidP="00505A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9BBB59" w:themeFill="accent3"/>
          </w:tcPr>
          <w:p w:rsidR="00195188" w:rsidRPr="000417BD" w:rsidRDefault="00195188" w:rsidP="00505A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7" w:type="dxa"/>
          </w:tcPr>
          <w:p w:rsidR="00195188" w:rsidRPr="000417BD" w:rsidRDefault="00E30F22" w:rsidP="00EE5318">
            <w:pPr>
              <w:rPr>
                <w:rFonts w:cstheme="minorHAnsi"/>
                <w:sz w:val="18"/>
                <w:szCs w:val="18"/>
              </w:rPr>
            </w:pPr>
            <w:r w:rsidRPr="000417BD">
              <w:rPr>
                <w:rFonts w:cstheme="minorHAnsi"/>
                <w:sz w:val="18"/>
                <w:szCs w:val="18"/>
              </w:rPr>
              <w:t xml:space="preserve">Set up </w:t>
            </w:r>
            <w:r>
              <w:rPr>
                <w:rFonts w:cstheme="minorHAnsi"/>
                <w:sz w:val="18"/>
                <w:szCs w:val="18"/>
              </w:rPr>
              <w:t xml:space="preserve">Staff Engagement Forum with a view to </w:t>
            </w:r>
            <w:r w:rsidRPr="000417BD">
              <w:rPr>
                <w:rFonts w:cstheme="minorHAnsi"/>
                <w:sz w:val="18"/>
                <w:szCs w:val="18"/>
              </w:rPr>
              <w:t>BME network</w:t>
            </w:r>
            <w:r>
              <w:rPr>
                <w:rFonts w:cstheme="minorHAnsi"/>
                <w:sz w:val="18"/>
                <w:szCs w:val="18"/>
              </w:rPr>
              <w:t xml:space="preserve"> longer term </w:t>
            </w:r>
          </w:p>
        </w:tc>
        <w:tc>
          <w:tcPr>
            <w:tcW w:w="3078" w:type="dxa"/>
            <w:gridSpan w:val="3"/>
            <w:shd w:val="clear" w:color="auto" w:fill="F79646" w:themeFill="accent6"/>
          </w:tcPr>
          <w:p w:rsidR="00195188" w:rsidRDefault="00EE5318" w:rsidP="00195188">
            <w:pPr>
              <w:rPr>
                <w:rFonts w:cstheme="minorHAnsi"/>
                <w:sz w:val="18"/>
                <w:szCs w:val="18"/>
              </w:rPr>
            </w:pPr>
            <w:r w:rsidRPr="007C3825">
              <w:rPr>
                <w:rFonts w:cstheme="minorHAnsi"/>
                <w:i/>
                <w:sz w:val="18"/>
                <w:szCs w:val="18"/>
              </w:rPr>
              <w:t>David Southall – September 2017</w:t>
            </w:r>
            <w:r>
              <w:rPr>
                <w:rFonts w:cstheme="minorHAnsi"/>
                <w:i/>
                <w:sz w:val="18"/>
                <w:szCs w:val="18"/>
              </w:rPr>
              <w:t>- Social network forum established but efforts to establish Staff Equalities Engagement forum have stalled again due to lack of interest.  Other methods of engaging with staff being explored</w:t>
            </w:r>
          </w:p>
        </w:tc>
      </w:tr>
      <w:tr w:rsidR="00A653D7" w:rsidRPr="003F4B75" w:rsidTr="00DC57DC">
        <w:trPr>
          <w:trHeight w:val="878"/>
        </w:trPr>
        <w:tc>
          <w:tcPr>
            <w:tcW w:w="3510" w:type="dxa"/>
            <w:vMerge w:val="restart"/>
          </w:tcPr>
          <w:p w:rsidR="00A653D7" w:rsidRPr="006273AC" w:rsidRDefault="00A653D7" w:rsidP="00505A8C">
            <w:pPr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r w:rsidRPr="006273AC">
              <w:rPr>
                <w:color w:val="000000" w:themeColor="text1"/>
                <w:sz w:val="18"/>
                <w:szCs w:val="18"/>
              </w:rPr>
              <w:t>% of staff experiencing harassment bullying or abuse from staff in last 12 months</w:t>
            </w:r>
          </w:p>
        </w:tc>
        <w:tc>
          <w:tcPr>
            <w:tcW w:w="2268" w:type="dxa"/>
            <w:vMerge w:val="restart"/>
          </w:tcPr>
          <w:p w:rsidR="00A653D7" w:rsidRPr="006273AC" w:rsidRDefault="00A653D7" w:rsidP="007A7441">
            <w:pPr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 xml:space="preserve">Nationally </w:t>
            </w:r>
            <w:r w:rsidR="00DC57DC">
              <w:rPr>
                <w:sz w:val="18"/>
                <w:szCs w:val="18"/>
              </w:rPr>
              <w:t xml:space="preserve">BME staff </w:t>
            </w:r>
            <w:r w:rsidR="007A7441">
              <w:rPr>
                <w:sz w:val="18"/>
                <w:szCs w:val="18"/>
              </w:rPr>
              <w:t xml:space="preserve">are </w:t>
            </w:r>
            <w:r w:rsidR="00DC57DC">
              <w:rPr>
                <w:sz w:val="18"/>
                <w:szCs w:val="18"/>
              </w:rPr>
              <w:t xml:space="preserve">more likely to experience discrimination at work from colleagues and managers compared to white staff at </w:t>
            </w:r>
            <w:r w:rsidR="00BF0C5C">
              <w:rPr>
                <w:sz w:val="18"/>
                <w:szCs w:val="18"/>
              </w:rPr>
              <w:t>26</w:t>
            </w:r>
            <w:r w:rsidR="00DC57DC">
              <w:rPr>
                <w:sz w:val="18"/>
                <w:szCs w:val="18"/>
              </w:rPr>
              <w:t>%</w:t>
            </w:r>
            <w:r w:rsidR="00BF0C5C">
              <w:rPr>
                <w:sz w:val="18"/>
                <w:szCs w:val="18"/>
              </w:rPr>
              <w:t xml:space="preserve"> </w:t>
            </w:r>
            <w:r w:rsidR="00DC57DC">
              <w:rPr>
                <w:sz w:val="18"/>
                <w:szCs w:val="18"/>
              </w:rPr>
              <w:t xml:space="preserve">and </w:t>
            </w:r>
            <w:r w:rsidR="00BF0C5C">
              <w:rPr>
                <w:sz w:val="18"/>
                <w:szCs w:val="18"/>
              </w:rPr>
              <w:t>23</w:t>
            </w:r>
            <w:r w:rsidR="00DC57DC">
              <w:rPr>
                <w:sz w:val="18"/>
                <w:szCs w:val="18"/>
              </w:rPr>
              <w:t>% respectively.</w:t>
            </w:r>
          </w:p>
        </w:tc>
        <w:tc>
          <w:tcPr>
            <w:tcW w:w="2977" w:type="dxa"/>
            <w:vMerge w:val="restart"/>
            <w:shd w:val="clear" w:color="auto" w:fill="FF0000"/>
          </w:tcPr>
          <w:p w:rsidR="00A653D7" w:rsidRDefault="00A653D7" w:rsidP="000A64C6">
            <w:pPr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 xml:space="preserve">Our BME </w:t>
            </w:r>
            <w:r>
              <w:rPr>
                <w:sz w:val="18"/>
                <w:szCs w:val="18"/>
              </w:rPr>
              <w:t>has improved from</w:t>
            </w:r>
            <w:r w:rsidRPr="006273AC">
              <w:rPr>
                <w:sz w:val="18"/>
                <w:szCs w:val="18"/>
              </w:rPr>
              <w:t xml:space="preserve"> 56% </w:t>
            </w:r>
            <w:r>
              <w:rPr>
                <w:sz w:val="18"/>
                <w:szCs w:val="18"/>
              </w:rPr>
              <w:t xml:space="preserve">in </w:t>
            </w:r>
            <w:r w:rsidR="00DC57DC">
              <w:rPr>
                <w:sz w:val="18"/>
                <w:szCs w:val="18"/>
              </w:rPr>
              <w:t>2015 to 32% in 2016 and has remained at 32% for 2017</w:t>
            </w:r>
          </w:p>
          <w:p w:rsidR="00A653D7" w:rsidRPr="006273AC" w:rsidRDefault="00A653D7" w:rsidP="00A65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 has deteriorated from </w:t>
            </w:r>
            <w:r w:rsidRPr="006273AC">
              <w:rPr>
                <w:sz w:val="18"/>
                <w:szCs w:val="18"/>
              </w:rPr>
              <w:t xml:space="preserve">28% </w:t>
            </w:r>
            <w:r>
              <w:rPr>
                <w:sz w:val="18"/>
                <w:szCs w:val="18"/>
              </w:rPr>
              <w:t xml:space="preserve">to 31%.Both are </w:t>
            </w:r>
            <w:r w:rsidR="00DC57DC">
              <w:rPr>
                <w:sz w:val="18"/>
                <w:szCs w:val="18"/>
              </w:rPr>
              <w:t xml:space="preserve">significantly </w:t>
            </w:r>
            <w:r>
              <w:rPr>
                <w:sz w:val="18"/>
                <w:szCs w:val="18"/>
              </w:rPr>
              <w:t>higher than national position.</w:t>
            </w:r>
          </w:p>
        </w:tc>
        <w:tc>
          <w:tcPr>
            <w:tcW w:w="1361" w:type="dxa"/>
            <w:vMerge w:val="restart"/>
            <w:shd w:val="clear" w:color="auto" w:fill="FF0000"/>
          </w:tcPr>
          <w:p w:rsidR="00A653D7" w:rsidRPr="006273AC" w:rsidRDefault="00A653D7" w:rsidP="00A65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SOS has brought </w:t>
            </w:r>
            <w:r w:rsidRPr="006273AC">
              <w:rPr>
                <w:sz w:val="18"/>
                <w:szCs w:val="18"/>
              </w:rPr>
              <w:t xml:space="preserve">BME staff </w:t>
            </w:r>
            <w:r>
              <w:rPr>
                <w:sz w:val="18"/>
                <w:szCs w:val="18"/>
              </w:rPr>
              <w:t xml:space="preserve">almost </w:t>
            </w:r>
            <w:r w:rsidRPr="006273AC">
              <w:rPr>
                <w:sz w:val="18"/>
                <w:szCs w:val="18"/>
              </w:rPr>
              <w:t>equal to white staff</w:t>
            </w:r>
            <w:r>
              <w:rPr>
                <w:sz w:val="18"/>
                <w:szCs w:val="18"/>
              </w:rPr>
              <w:t xml:space="preserve"> -but </w:t>
            </w:r>
            <w:r w:rsidR="00DC57DC">
              <w:rPr>
                <w:sz w:val="18"/>
                <w:szCs w:val="18"/>
              </w:rPr>
              <w:t xml:space="preserve">both are </w:t>
            </w:r>
            <w:r>
              <w:rPr>
                <w:sz w:val="18"/>
                <w:szCs w:val="18"/>
              </w:rPr>
              <w:t>higher than national position.</w:t>
            </w:r>
          </w:p>
        </w:tc>
        <w:tc>
          <w:tcPr>
            <w:tcW w:w="2507" w:type="dxa"/>
          </w:tcPr>
          <w:p w:rsidR="00A653D7" w:rsidRDefault="00A653D7" w:rsidP="000A64C6">
            <w:pPr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 xml:space="preserve">Full SOS survey </w:t>
            </w:r>
            <w:r>
              <w:rPr>
                <w:sz w:val="18"/>
                <w:szCs w:val="18"/>
              </w:rPr>
              <w:t>for 2017 with data drilled down to identify problem departments</w:t>
            </w:r>
          </w:p>
          <w:p w:rsidR="00A653D7" w:rsidRDefault="00A653D7" w:rsidP="000A64C6">
            <w:pPr>
              <w:rPr>
                <w:sz w:val="18"/>
                <w:szCs w:val="18"/>
              </w:rPr>
            </w:pPr>
          </w:p>
          <w:p w:rsidR="00A653D7" w:rsidRPr="006273AC" w:rsidRDefault="00A653D7" w:rsidP="000A64C6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F79646" w:themeFill="accent6"/>
          </w:tcPr>
          <w:p w:rsidR="00A653D7" w:rsidRPr="006273AC" w:rsidRDefault="00A653D7" w:rsidP="00505A8C">
            <w:pPr>
              <w:rPr>
                <w:sz w:val="18"/>
                <w:szCs w:val="18"/>
              </w:rPr>
            </w:pPr>
            <w:r w:rsidRPr="00EE5318">
              <w:rPr>
                <w:rFonts w:cstheme="minorHAnsi"/>
                <w:i/>
                <w:sz w:val="18"/>
                <w:szCs w:val="18"/>
              </w:rPr>
              <w:t>Deb Drew – February 2018 once Staff Survey results are available</w:t>
            </w:r>
          </w:p>
        </w:tc>
      </w:tr>
      <w:tr w:rsidR="00A653D7" w:rsidRPr="00A653D7" w:rsidTr="00DC57DC">
        <w:trPr>
          <w:trHeight w:val="176"/>
        </w:trPr>
        <w:tc>
          <w:tcPr>
            <w:tcW w:w="3510" w:type="dxa"/>
            <w:vMerge/>
          </w:tcPr>
          <w:p w:rsidR="00A653D7" w:rsidRPr="006273AC" w:rsidRDefault="00A653D7" w:rsidP="00505A8C">
            <w:pPr>
              <w:numPr>
                <w:ilvl w:val="0"/>
                <w:numId w:val="26"/>
              </w:numPr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653D7" w:rsidRPr="006273AC" w:rsidRDefault="00A653D7" w:rsidP="00505A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0000"/>
          </w:tcPr>
          <w:p w:rsidR="00A653D7" w:rsidRPr="006273AC" w:rsidRDefault="00A653D7" w:rsidP="000A64C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FF0000"/>
          </w:tcPr>
          <w:p w:rsidR="00A653D7" w:rsidRDefault="00A653D7" w:rsidP="000A64C6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</w:tcPr>
          <w:p w:rsidR="00A653D7" w:rsidRDefault="00A653D7" w:rsidP="00A65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273AC">
              <w:rPr>
                <w:sz w:val="18"/>
                <w:szCs w:val="18"/>
              </w:rPr>
              <w:t xml:space="preserve">et up BME network </w:t>
            </w:r>
          </w:p>
          <w:p w:rsidR="00A653D7" w:rsidRPr="006273AC" w:rsidRDefault="00A653D7" w:rsidP="00A653D7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F79646" w:themeFill="accent6"/>
          </w:tcPr>
          <w:p w:rsidR="00A653D7" w:rsidRPr="00A653D7" w:rsidRDefault="00A653D7" w:rsidP="00A653D7">
            <w:pPr>
              <w:rPr>
                <w:i/>
                <w:sz w:val="18"/>
                <w:szCs w:val="18"/>
              </w:rPr>
            </w:pPr>
            <w:r w:rsidRPr="00A653D7">
              <w:rPr>
                <w:i/>
                <w:sz w:val="18"/>
                <w:szCs w:val="18"/>
              </w:rPr>
              <w:t xml:space="preserve">David Southall – </w:t>
            </w:r>
            <w:r>
              <w:rPr>
                <w:i/>
                <w:sz w:val="18"/>
                <w:szCs w:val="18"/>
              </w:rPr>
              <w:t>March 2018</w:t>
            </w:r>
          </w:p>
        </w:tc>
      </w:tr>
      <w:tr w:rsidR="000A64C6" w:rsidRPr="003F4B75" w:rsidTr="00DC57DC">
        <w:tc>
          <w:tcPr>
            <w:tcW w:w="3510" w:type="dxa"/>
          </w:tcPr>
          <w:p w:rsidR="000417BD" w:rsidRPr="006273AC" w:rsidRDefault="000417BD" w:rsidP="00505A8C">
            <w:pPr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>% believing that trust provides equal opportunities for career progression or promotion</w:t>
            </w:r>
          </w:p>
        </w:tc>
        <w:tc>
          <w:tcPr>
            <w:tcW w:w="2268" w:type="dxa"/>
          </w:tcPr>
          <w:p w:rsidR="000417BD" w:rsidRPr="006273AC" w:rsidRDefault="000417BD" w:rsidP="00505A8C">
            <w:pPr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>Nationally 75% for BME and 89% for white staff</w:t>
            </w:r>
          </w:p>
        </w:tc>
        <w:tc>
          <w:tcPr>
            <w:tcW w:w="2977" w:type="dxa"/>
            <w:shd w:val="clear" w:color="auto" w:fill="F79646" w:themeFill="accent6"/>
          </w:tcPr>
          <w:p w:rsidR="000417BD" w:rsidRPr="006273AC" w:rsidRDefault="000A64C6" w:rsidP="000A6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response has improved from </w:t>
            </w:r>
            <w:r w:rsidR="000417BD" w:rsidRPr="006273AC">
              <w:rPr>
                <w:sz w:val="18"/>
                <w:szCs w:val="18"/>
              </w:rPr>
              <w:t>69%</w:t>
            </w:r>
            <w:r>
              <w:rPr>
                <w:sz w:val="18"/>
                <w:szCs w:val="18"/>
              </w:rPr>
              <w:t>in 2015 for</w:t>
            </w:r>
            <w:r w:rsidR="000417BD" w:rsidRPr="006273AC">
              <w:rPr>
                <w:sz w:val="18"/>
                <w:szCs w:val="18"/>
              </w:rPr>
              <w:t xml:space="preserve"> BME</w:t>
            </w:r>
            <w:r>
              <w:rPr>
                <w:sz w:val="18"/>
                <w:szCs w:val="18"/>
              </w:rPr>
              <w:t xml:space="preserve"> to 74% in 2016 due to full staff survey.  For white staff position has improved slightly from</w:t>
            </w:r>
            <w:r w:rsidR="000417BD" w:rsidRPr="006273AC">
              <w:rPr>
                <w:sz w:val="18"/>
                <w:szCs w:val="18"/>
              </w:rPr>
              <w:t xml:space="preserve"> 82% </w:t>
            </w:r>
            <w:r>
              <w:rPr>
                <w:sz w:val="18"/>
                <w:szCs w:val="18"/>
              </w:rPr>
              <w:t>in 2015 to 84% in 2016.</w:t>
            </w:r>
          </w:p>
        </w:tc>
        <w:tc>
          <w:tcPr>
            <w:tcW w:w="1361" w:type="dxa"/>
            <w:shd w:val="clear" w:color="auto" w:fill="9BBB59" w:themeFill="accent3"/>
          </w:tcPr>
          <w:p w:rsidR="000417BD" w:rsidRPr="006273AC" w:rsidRDefault="000A64C6" w:rsidP="00274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417BD" w:rsidRPr="006273AC">
              <w:rPr>
                <w:sz w:val="18"/>
                <w:szCs w:val="18"/>
              </w:rPr>
              <w:t>mproved but still worse than national</w:t>
            </w:r>
            <w:r w:rsidR="0027468A">
              <w:rPr>
                <w:sz w:val="18"/>
                <w:szCs w:val="18"/>
              </w:rPr>
              <w:t xml:space="preserve"> for white staff, BME is same as national</w:t>
            </w:r>
          </w:p>
        </w:tc>
        <w:tc>
          <w:tcPr>
            <w:tcW w:w="2507" w:type="dxa"/>
          </w:tcPr>
          <w:p w:rsidR="000A64C6" w:rsidRPr="006273AC" w:rsidRDefault="000417BD" w:rsidP="000A64C6">
            <w:pPr>
              <w:rPr>
                <w:i/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 xml:space="preserve">BME </w:t>
            </w:r>
            <w:r w:rsidR="00A653D7">
              <w:rPr>
                <w:sz w:val="18"/>
                <w:szCs w:val="18"/>
              </w:rPr>
              <w:t xml:space="preserve">network </w:t>
            </w:r>
            <w:r w:rsidRPr="006273AC">
              <w:rPr>
                <w:sz w:val="18"/>
                <w:szCs w:val="18"/>
              </w:rPr>
              <w:t xml:space="preserve">group needs to be established to understand why staff feel this way, and what support we need to give.  </w:t>
            </w:r>
            <w:r w:rsidR="000A64C6">
              <w:rPr>
                <w:sz w:val="18"/>
                <w:szCs w:val="18"/>
              </w:rPr>
              <w:t>E&amp;D Committee to take a lead.</w:t>
            </w:r>
          </w:p>
          <w:p w:rsidR="000417BD" w:rsidRPr="006273AC" w:rsidRDefault="000417BD" w:rsidP="00505A8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F79646" w:themeFill="accent6"/>
          </w:tcPr>
          <w:p w:rsidR="000A29AD" w:rsidRPr="006273AC" w:rsidRDefault="00A653D7" w:rsidP="00505A8C">
            <w:pPr>
              <w:rPr>
                <w:sz w:val="18"/>
                <w:szCs w:val="18"/>
              </w:rPr>
            </w:pPr>
            <w:r w:rsidRPr="00A653D7">
              <w:rPr>
                <w:i/>
                <w:sz w:val="18"/>
                <w:szCs w:val="18"/>
              </w:rPr>
              <w:t xml:space="preserve">David Southall – </w:t>
            </w:r>
            <w:r>
              <w:rPr>
                <w:i/>
                <w:sz w:val="18"/>
                <w:szCs w:val="18"/>
              </w:rPr>
              <w:t>March 2018</w:t>
            </w:r>
          </w:p>
        </w:tc>
      </w:tr>
    </w:tbl>
    <w:p w:rsidR="00EA4025" w:rsidRDefault="00EA4025">
      <w:r>
        <w:br w:type="page"/>
      </w:r>
    </w:p>
    <w:tbl>
      <w:tblPr>
        <w:tblStyle w:val="TableGrid1"/>
        <w:tblpPr w:leftFromText="180" w:rightFromText="180" w:vertAnchor="text" w:horzAnchor="margin" w:tblpY="-254"/>
        <w:tblW w:w="15701" w:type="dxa"/>
        <w:tblLook w:val="04A0" w:firstRow="1" w:lastRow="0" w:firstColumn="1" w:lastColumn="0" w:noHBand="0" w:noVBand="1"/>
      </w:tblPr>
      <w:tblGrid>
        <w:gridCol w:w="3936"/>
        <w:gridCol w:w="1842"/>
        <w:gridCol w:w="2977"/>
        <w:gridCol w:w="1361"/>
        <w:gridCol w:w="2507"/>
        <w:gridCol w:w="1026"/>
        <w:gridCol w:w="1026"/>
        <w:gridCol w:w="1026"/>
      </w:tblGrid>
      <w:tr w:rsidR="000A29AD" w:rsidRPr="003F4B75" w:rsidTr="00681505">
        <w:tc>
          <w:tcPr>
            <w:tcW w:w="15701" w:type="dxa"/>
            <w:gridSpan w:val="8"/>
            <w:shd w:val="clear" w:color="auto" w:fill="8064A2" w:themeFill="accent4"/>
          </w:tcPr>
          <w:p w:rsidR="000A29AD" w:rsidRDefault="000A29AD" w:rsidP="00681505">
            <w:pPr>
              <w:jc w:val="center"/>
              <w:rPr>
                <w:sz w:val="18"/>
                <w:szCs w:val="18"/>
              </w:rPr>
            </w:pPr>
            <w:r w:rsidRPr="003F4B75">
              <w:rPr>
                <w:b/>
                <w:color w:val="FFFFFF" w:themeColor="background1"/>
                <w:sz w:val="32"/>
                <w:szCs w:val="32"/>
              </w:rPr>
              <w:lastRenderedPageBreak/>
              <w:t>WORKFORCE RACE EQUALITIES STANDARD – ACTION PLAN 2017</w:t>
            </w:r>
            <w:r w:rsidR="00681505">
              <w:rPr>
                <w:b/>
                <w:color w:val="FFFFFF" w:themeColor="background1"/>
                <w:sz w:val="32"/>
                <w:szCs w:val="32"/>
              </w:rPr>
              <w:t>/18</w:t>
            </w:r>
          </w:p>
        </w:tc>
      </w:tr>
      <w:tr w:rsidR="00681505" w:rsidRPr="003F4B75" w:rsidTr="00A653D7">
        <w:trPr>
          <w:trHeight w:val="773"/>
        </w:trPr>
        <w:tc>
          <w:tcPr>
            <w:tcW w:w="3936" w:type="dxa"/>
            <w:vMerge w:val="restart"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 w:rsidRPr="000A29AD">
              <w:rPr>
                <w:color w:val="FFFFFF" w:themeColor="background1"/>
                <w:sz w:val="18"/>
                <w:szCs w:val="18"/>
              </w:rPr>
              <w:t>WRES INDICATOR</w:t>
            </w:r>
          </w:p>
        </w:tc>
        <w:tc>
          <w:tcPr>
            <w:tcW w:w="1842" w:type="dxa"/>
            <w:vMerge w:val="restart"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 w:rsidRPr="000A29AD">
              <w:rPr>
                <w:color w:val="FFFFFF" w:themeColor="background1"/>
                <w:sz w:val="18"/>
                <w:szCs w:val="18"/>
              </w:rPr>
              <w:t>NATIONAL POSITION</w:t>
            </w:r>
          </w:p>
        </w:tc>
        <w:tc>
          <w:tcPr>
            <w:tcW w:w="2977" w:type="dxa"/>
            <w:vMerge w:val="restart"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 w:rsidRPr="000417BD">
              <w:rPr>
                <w:color w:val="FFFFFF" w:themeColor="background1"/>
                <w:sz w:val="18"/>
                <w:szCs w:val="18"/>
              </w:rPr>
              <w:t>HOW OUR TRUST COMPARES TO NATIONAL POSITION</w:t>
            </w:r>
            <w:r>
              <w:rPr>
                <w:color w:val="FFFFFF" w:themeColor="background1"/>
                <w:sz w:val="18"/>
                <w:szCs w:val="18"/>
              </w:rPr>
              <w:t xml:space="preserve"> (AS AT 31 MARCH 2017)</w:t>
            </w:r>
          </w:p>
        </w:tc>
        <w:tc>
          <w:tcPr>
            <w:tcW w:w="1361" w:type="dxa"/>
            <w:vMerge w:val="restart"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 w:rsidRPr="00EA4025">
              <w:rPr>
                <w:color w:val="FFFFFF" w:themeColor="background1"/>
                <w:sz w:val="18"/>
                <w:szCs w:val="18"/>
              </w:rPr>
              <w:t>HOW OUR TRUST COMPARES WITH IT’S OWN POSITION ON 31 MARCH 2016</w:t>
            </w:r>
          </w:p>
        </w:tc>
        <w:tc>
          <w:tcPr>
            <w:tcW w:w="2507" w:type="dxa"/>
            <w:vMerge w:val="restart"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 w:rsidRPr="000A29AD">
              <w:rPr>
                <w:color w:val="FFFFFF" w:themeColor="background1"/>
                <w:sz w:val="18"/>
                <w:szCs w:val="18"/>
              </w:rPr>
              <w:t>ACTION – BY WHOM AND TIMESCALE</w:t>
            </w:r>
          </w:p>
        </w:tc>
        <w:tc>
          <w:tcPr>
            <w:tcW w:w="3078" w:type="dxa"/>
            <w:gridSpan w:val="3"/>
            <w:shd w:val="clear" w:color="auto" w:fill="8064A2" w:themeFill="accent4"/>
          </w:tcPr>
          <w:p w:rsidR="00E30F22" w:rsidRDefault="00E30F22" w:rsidP="00E30F22">
            <w:pPr>
              <w:rPr>
                <w:color w:val="FFFFFF" w:themeColor="background1"/>
                <w:sz w:val="18"/>
                <w:szCs w:val="18"/>
              </w:rPr>
            </w:pPr>
            <w:r w:rsidRPr="000A29AD">
              <w:rPr>
                <w:color w:val="FFFFFF" w:themeColor="background1"/>
                <w:sz w:val="18"/>
                <w:szCs w:val="18"/>
              </w:rPr>
              <w:t xml:space="preserve">PROGRESS AS AT </w:t>
            </w:r>
            <w:r>
              <w:rPr>
                <w:color w:val="FFFFFF" w:themeColor="background1"/>
                <w:sz w:val="18"/>
                <w:szCs w:val="18"/>
              </w:rPr>
              <w:t xml:space="preserve">: </w:t>
            </w:r>
          </w:p>
          <w:p w:rsidR="00681505" w:rsidRPr="000A29AD" w:rsidRDefault="00E30F22" w:rsidP="00E30F2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RAG RATED</w:t>
            </w:r>
            <w:r w:rsidRPr="000A29AD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681505" w:rsidRPr="003F4B75" w:rsidTr="00A653D7">
        <w:trPr>
          <w:trHeight w:val="772"/>
        </w:trPr>
        <w:tc>
          <w:tcPr>
            <w:tcW w:w="3936" w:type="dxa"/>
            <w:vMerge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8064A2" w:themeFill="accent4"/>
          </w:tcPr>
          <w:p w:rsidR="00681505" w:rsidRPr="000417B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8064A2" w:themeFill="accent4"/>
          </w:tcPr>
          <w:p w:rsidR="00681505" w:rsidRPr="00EA402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07" w:type="dxa"/>
            <w:vMerge/>
            <w:shd w:val="clear" w:color="auto" w:fill="8064A2" w:themeFill="accent4"/>
          </w:tcPr>
          <w:p w:rsidR="00681505" w:rsidRPr="000A29AD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9BBB59" w:themeFill="accent3"/>
          </w:tcPr>
          <w:p w:rsidR="0068150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KEY:</w:t>
            </w:r>
          </w:p>
          <w:p w:rsidR="0068150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COMPLETE</w:t>
            </w:r>
            <w:r w:rsidR="003C6DC1">
              <w:rPr>
                <w:color w:val="FFFFFF" w:themeColor="background1"/>
                <w:sz w:val="18"/>
                <w:szCs w:val="18"/>
              </w:rPr>
              <w:t xml:space="preserve"> OR ON TRACK</w:t>
            </w:r>
          </w:p>
        </w:tc>
        <w:tc>
          <w:tcPr>
            <w:tcW w:w="1026" w:type="dxa"/>
            <w:shd w:val="clear" w:color="auto" w:fill="F79646" w:themeFill="accent6"/>
          </w:tcPr>
          <w:p w:rsidR="0068150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PROGRESS MADE</w:t>
            </w:r>
          </w:p>
        </w:tc>
        <w:tc>
          <w:tcPr>
            <w:tcW w:w="1026" w:type="dxa"/>
            <w:shd w:val="clear" w:color="auto" w:fill="FF0000"/>
          </w:tcPr>
          <w:p w:rsidR="00681505" w:rsidRDefault="00681505" w:rsidP="0068150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NO PROGRESS</w:t>
            </w:r>
          </w:p>
        </w:tc>
      </w:tr>
      <w:tr w:rsidR="004C1C3E" w:rsidRPr="003F4B75" w:rsidTr="003C6DC1">
        <w:trPr>
          <w:trHeight w:val="773"/>
        </w:trPr>
        <w:tc>
          <w:tcPr>
            <w:tcW w:w="3936" w:type="dxa"/>
            <w:vMerge w:val="restart"/>
          </w:tcPr>
          <w:p w:rsidR="004C1C3E" w:rsidRPr="006273AC" w:rsidRDefault="004C1C3E" w:rsidP="00505A8C">
            <w:pPr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>In last 12 months % personally experienced discrimination at work from manager, team leader or other colleagues</w:t>
            </w:r>
          </w:p>
        </w:tc>
        <w:tc>
          <w:tcPr>
            <w:tcW w:w="1842" w:type="dxa"/>
            <w:vMerge w:val="restart"/>
          </w:tcPr>
          <w:p w:rsidR="004C1C3E" w:rsidRPr="006273AC" w:rsidRDefault="007A7441" w:rsidP="00505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Nationally 14</w:t>
            </w:r>
            <w:r w:rsidR="004C1C3E" w:rsidRPr="006273AC">
              <w:rPr>
                <w:sz w:val="18"/>
                <w:szCs w:val="18"/>
              </w:rPr>
              <w:t>% for BME and 6% white</w:t>
            </w:r>
          </w:p>
        </w:tc>
        <w:tc>
          <w:tcPr>
            <w:tcW w:w="2977" w:type="dxa"/>
            <w:vMerge w:val="restart"/>
            <w:shd w:val="clear" w:color="auto" w:fill="F79646" w:themeFill="accent6"/>
          </w:tcPr>
          <w:p w:rsidR="004C1C3E" w:rsidRPr="006273AC" w:rsidRDefault="004C1C3E" w:rsidP="004C1C3E">
            <w:pPr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 xml:space="preserve">Our BME staff </w:t>
            </w:r>
            <w:r>
              <w:rPr>
                <w:sz w:val="18"/>
                <w:szCs w:val="18"/>
              </w:rPr>
              <w:t xml:space="preserve">response has reduced from </w:t>
            </w:r>
            <w:r w:rsidRPr="006273AC">
              <w:rPr>
                <w:sz w:val="18"/>
                <w:szCs w:val="18"/>
              </w:rPr>
              <w:t>24%</w:t>
            </w:r>
            <w:r>
              <w:rPr>
                <w:sz w:val="18"/>
                <w:szCs w:val="18"/>
              </w:rPr>
              <w:t xml:space="preserve"> in 2015 to 17% in 2016 due to full staff survey.  However this is still worse than national position.  For white staff there is little change with</w:t>
            </w:r>
            <w:r w:rsidRPr="006273AC">
              <w:rPr>
                <w:sz w:val="18"/>
                <w:szCs w:val="18"/>
              </w:rPr>
              <w:t xml:space="preserve"> 5%</w:t>
            </w:r>
            <w:r>
              <w:rPr>
                <w:sz w:val="18"/>
                <w:szCs w:val="18"/>
              </w:rPr>
              <w:t xml:space="preserve"> in 2015 and 6% in 2016 which is the same as national position.</w:t>
            </w:r>
          </w:p>
        </w:tc>
        <w:tc>
          <w:tcPr>
            <w:tcW w:w="1361" w:type="dxa"/>
            <w:vMerge w:val="restart"/>
            <w:shd w:val="clear" w:color="auto" w:fill="9BBB59" w:themeFill="accent3"/>
          </w:tcPr>
          <w:p w:rsidR="004C1C3E" w:rsidRPr="006273AC" w:rsidRDefault="004C1C3E" w:rsidP="00505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Improved for BME and stayed the same for white</w:t>
            </w:r>
          </w:p>
        </w:tc>
        <w:tc>
          <w:tcPr>
            <w:tcW w:w="2507" w:type="dxa"/>
          </w:tcPr>
          <w:p w:rsidR="004C1C3E" w:rsidRPr="006273AC" w:rsidRDefault="004C1C3E" w:rsidP="00505A8C">
            <w:pPr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 xml:space="preserve">BME group needed to understand why </w:t>
            </w:r>
          </w:p>
          <w:p w:rsidR="004C1C3E" w:rsidRPr="006273AC" w:rsidRDefault="004C1C3E" w:rsidP="00505A8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F79646" w:themeFill="accent6"/>
          </w:tcPr>
          <w:p w:rsidR="004C1C3E" w:rsidRPr="006273AC" w:rsidRDefault="004C1C3E" w:rsidP="000E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Southall – March 2018</w:t>
            </w:r>
          </w:p>
        </w:tc>
      </w:tr>
      <w:tr w:rsidR="004C1C3E" w:rsidRPr="003F4B75" w:rsidTr="003C6DC1">
        <w:trPr>
          <w:trHeight w:val="772"/>
        </w:trPr>
        <w:tc>
          <w:tcPr>
            <w:tcW w:w="3936" w:type="dxa"/>
            <w:vMerge/>
          </w:tcPr>
          <w:p w:rsidR="004C1C3E" w:rsidRPr="006273AC" w:rsidRDefault="004C1C3E" w:rsidP="00505A8C">
            <w:pPr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1C3E" w:rsidRPr="006273AC" w:rsidRDefault="004C1C3E" w:rsidP="00505A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79646" w:themeFill="accent6"/>
          </w:tcPr>
          <w:p w:rsidR="004C1C3E" w:rsidRPr="006273AC" w:rsidRDefault="004C1C3E" w:rsidP="004C1C3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9BBB59" w:themeFill="accent3"/>
          </w:tcPr>
          <w:p w:rsidR="004C1C3E" w:rsidRDefault="004C1C3E" w:rsidP="00505A8C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</w:tcPr>
          <w:p w:rsidR="004C1C3E" w:rsidRPr="006273AC" w:rsidRDefault="004C1C3E" w:rsidP="00505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273AC">
              <w:rPr>
                <w:sz w:val="18"/>
                <w:szCs w:val="18"/>
              </w:rPr>
              <w:t>upport staff to voice concerns</w:t>
            </w:r>
          </w:p>
        </w:tc>
        <w:tc>
          <w:tcPr>
            <w:tcW w:w="3078" w:type="dxa"/>
            <w:gridSpan w:val="3"/>
            <w:shd w:val="clear" w:color="auto" w:fill="9BBB59" w:themeFill="accent3"/>
          </w:tcPr>
          <w:p w:rsidR="004C1C3E" w:rsidRDefault="004C1C3E" w:rsidP="000E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FTSU Champions and Guardian launched November 2017</w:t>
            </w:r>
          </w:p>
        </w:tc>
      </w:tr>
      <w:tr w:rsidR="000A64C6" w:rsidRPr="003F4B75" w:rsidTr="003C6DC1">
        <w:tc>
          <w:tcPr>
            <w:tcW w:w="3936" w:type="dxa"/>
          </w:tcPr>
          <w:p w:rsidR="000417BD" w:rsidRPr="006273AC" w:rsidRDefault="000417BD" w:rsidP="00505A8C">
            <w:pPr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>Boards are expected to be broadly representative of the population they serve</w:t>
            </w:r>
          </w:p>
        </w:tc>
        <w:tc>
          <w:tcPr>
            <w:tcW w:w="1842" w:type="dxa"/>
          </w:tcPr>
          <w:p w:rsidR="000417BD" w:rsidRPr="006273AC" w:rsidRDefault="000417BD" w:rsidP="007A7441">
            <w:pPr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 xml:space="preserve">Nationally there has been a </w:t>
            </w:r>
            <w:r w:rsidR="007A7441">
              <w:rPr>
                <w:sz w:val="18"/>
                <w:szCs w:val="18"/>
              </w:rPr>
              <w:t xml:space="preserve">steady increase in the number of Trusts with at least one </w:t>
            </w:r>
            <w:r w:rsidRPr="006273AC">
              <w:rPr>
                <w:sz w:val="18"/>
                <w:szCs w:val="18"/>
              </w:rPr>
              <w:t>BME Board member</w:t>
            </w:r>
            <w:r w:rsidR="007A7441">
              <w:rPr>
                <w:sz w:val="18"/>
                <w:szCs w:val="18"/>
              </w:rPr>
              <w:t>.  25 Trusts have 3 or more BME members of the board; an increase of 9 trusts since 2016.</w:t>
            </w:r>
          </w:p>
        </w:tc>
        <w:tc>
          <w:tcPr>
            <w:tcW w:w="2977" w:type="dxa"/>
            <w:shd w:val="clear" w:color="auto" w:fill="FF0000"/>
          </w:tcPr>
          <w:p w:rsidR="000417BD" w:rsidRPr="006273AC" w:rsidRDefault="000417BD" w:rsidP="00505A8C">
            <w:pPr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>We are 0% against Worcs BME population of 7.6%</w:t>
            </w:r>
          </w:p>
        </w:tc>
        <w:tc>
          <w:tcPr>
            <w:tcW w:w="1361" w:type="dxa"/>
            <w:shd w:val="clear" w:color="auto" w:fill="9BBB59" w:themeFill="accent3"/>
          </w:tcPr>
          <w:p w:rsidR="000417BD" w:rsidRPr="006273AC" w:rsidRDefault="000417BD" w:rsidP="00505A8C">
            <w:pPr>
              <w:rPr>
                <w:sz w:val="18"/>
                <w:szCs w:val="18"/>
              </w:rPr>
            </w:pPr>
            <w:r w:rsidRPr="006273AC">
              <w:rPr>
                <w:sz w:val="18"/>
                <w:szCs w:val="18"/>
              </w:rPr>
              <w:t>Remained at 0%</w:t>
            </w:r>
            <w:r w:rsidR="0027468A">
              <w:rPr>
                <w:sz w:val="18"/>
                <w:szCs w:val="18"/>
              </w:rPr>
              <w:t xml:space="preserve"> as still interims as at 31</w:t>
            </w:r>
            <w:r w:rsidR="0027468A" w:rsidRPr="0027468A">
              <w:rPr>
                <w:sz w:val="18"/>
                <w:szCs w:val="18"/>
                <w:vertAlign w:val="superscript"/>
              </w:rPr>
              <w:t>st</w:t>
            </w:r>
            <w:r w:rsidR="0027468A">
              <w:rPr>
                <w:sz w:val="18"/>
                <w:szCs w:val="18"/>
              </w:rPr>
              <w:t xml:space="preserve"> March.  </w:t>
            </w:r>
          </w:p>
        </w:tc>
        <w:tc>
          <w:tcPr>
            <w:tcW w:w="2507" w:type="dxa"/>
          </w:tcPr>
          <w:p w:rsidR="004C1C3E" w:rsidRPr="006273AC" w:rsidRDefault="004C1C3E" w:rsidP="004C1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Appointed</w:t>
            </w:r>
            <w:r w:rsidR="007A7441">
              <w:rPr>
                <w:sz w:val="18"/>
                <w:szCs w:val="18"/>
              </w:rPr>
              <w:t xml:space="preserve"> </w:t>
            </w:r>
            <w:r w:rsidRPr="006273AC">
              <w:rPr>
                <w:sz w:val="18"/>
                <w:szCs w:val="18"/>
              </w:rPr>
              <w:t xml:space="preserve">1 BME post to board </w:t>
            </w:r>
            <w:r>
              <w:rPr>
                <w:sz w:val="18"/>
                <w:szCs w:val="18"/>
              </w:rPr>
              <w:t>which is 7% representation from May 2017 which his broadly representative of Worcestershire population.</w:t>
            </w:r>
          </w:p>
          <w:p w:rsidR="000417BD" w:rsidRPr="006273AC" w:rsidRDefault="000417BD" w:rsidP="004C1C3E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9BBB59" w:themeFill="accent3"/>
          </w:tcPr>
          <w:p w:rsidR="000417BD" w:rsidRPr="006273AC" w:rsidRDefault="004C1C3E" w:rsidP="000E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CEO – completed May 2017</w:t>
            </w:r>
          </w:p>
        </w:tc>
      </w:tr>
    </w:tbl>
    <w:p w:rsidR="0097772F" w:rsidRPr="00C346EC" w:rsidRDefault="0097772F" w:rsidP="0004341B">
      <w:pPr>
        <w:tabs>
          <w:tab w:val="left" w:pos="1170"/>
        </w:tabs>
        <w:rPr>
          <w:rFonts w:ascii="Arial" w:hAnsi="Arial" w:cs="Arial"/>
          <w:b/>
        </w:rPr>
      </w:pPr>
    </w:p>
    <w:p w:rsidR="003F4B75" w:rsidRPr="003F4B75" w:rsidRDefault="003F4B75" w:rsidP="003F4B75">
      <w:pPr>
        <w:spacing w:after="200" w:line="276" w:lineRule="auto"/>
        <w:rPr>
          <w:rFonts w:ascii="FrutigerLTStd-Light" w:eastAsiaTheme="minorHAnsi" w:hAnsi="FrutigerLTStd-Light" w:cs="FrutigerLTStd-Light"/>
          <w:color w:val="000000"/>
        </w:rPr>
      </w:pPr>
    </w:p>
    <w:p w:rsidR="003F4B75" w:rsidRPr="003F4B75" w:rsidRDefault="003F4B75" w:rsidP="003F4B75">
      <w:pPr>
        <w:autoSpaceDE w:val="0"/>
        <w:autoSpaceDN w:val="0"/>
        <w:adjustRightInd w:val="0"/>
        <w:ind w:left="720"/>
        <w:contextualSpacing/>
        <w:rPr>
          <w:rFonts w:ascii="FrutigerLTStd-Light" w:eastAsiaTheme="minorHAnsi" w:hAnsi="FrutigerLTStd-Light" w:cs="FrutigerLTStd-Light"/>
          <w:color w:val="000000"/>
        </w:rPr>
      </w:pPr>
    </w:p>
    <w:p w:rsidR="00826948" w:rsidRDefault="008269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6948" w:rsidRPr="0000172E" w:rsidRDefault="00826948" w:rsidP="00826948">
      <w:pPr>
        <w:jc w:val="center"/>
        <w:rPr>
          <w:noProof/>
          <w:color w:val="0070C0"/>
          <w:lang w:eastAsia="en-GB"/>
        </w:rPr>
      </w:pPr>
      <w:r w:rsidRPr="0000172E">
        <w:rPr>
          <w:rFonts w:ascii="Arial" w:hAnsi="Arial" w:cs="Arial"/>
          <w:b/>
          <w:color w:val="0070C0"/>
        </w:rPr>
        <w:t>NATIONAL FINDINGS FROM NHS WRES DATA ANALYSIS REPORT FOR JULY 2017 – RECEIVED DECEMBER 2017</w:t>
      </w:r>
    </w:p>
    <w:p w:rsidR="00826948" w:rsidRPr="0000172E" w:rsidRDefault="00826948" w:rsidP="00826948">
      <w:pPr>
        <w:jc w:val="center"/>
        <w:rPr>
          <w:noProof/>
          <w:color w:val="0070C0"/>
          <w:lang w:eastAsia="en-GB"/>
        </w:rPr>
      </w:pPr>
    </w:p>
    <w:p w:rsidR="003F4B75" w:rsidRPr="0000172E" w:rsidRDefault="00826948" w:rsidP="00826948">
      <w:pPr>
        <w:jc w:val="center"/>
        <w:rPr>
          <w:rFonts w:ascii="Arial" w:hAnsi="Arial" w:cs="Arial"/>
          <w:color w:val="0070C0"/>
        </w:rPr>
      </w:pPr>
      <w:r>
        <w:rPr>
          <w:noProof/>
          <w:lang w:eastAsia="en-GB"/>
        </w:rPr>
        <w:drawing>
          <wp:inline distT="0" distB="0" distL="0" distR="0" wp14:anchorId="223DB2E1" wp14:editId="1D1BC03B">
            <wp:extent cx="6534150" cy="45084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673" t="16410" r="10577" b="7693"/>
                    <a:stretch/>
                  </pic:blipFill>
                  <pic:spPr bwMode="auto">
                    <a:xfrm>
                      <a:off x="0" y="0"/>
                      <a:ext cx="6536083" cy="4509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4B75" w:rsidRPr="0000172E" w:rsidSect="00443738">
      <w:headerReference w:type="default" r:id="rId10"/>
      <w:footerReference w:type="default" r:id="rId11"/>
      <w:pgSz w:w="16839" w:h="11907" w:orient="landscape" w:code="9"/>
      <w:pgMar w:top="1797" w:right="1259" w:bottom="1797" w:left="53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FD" w:rsidRDefault="003C4FFD" w:rsidP="007E78F8">
      <w:r>
        <w:separator/>
      </w:r>
    </w:p>
  </w:endnote>
  <w:endnote w:type="continuationSeparator" w:id="0">
    <w:p w:rsidR="003C4FFD" w:rsidRDefault="003C4FFD" w:rsidP="007E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8" w:rsidRPr="001A7997" w:rsidRDefault="0004341B" w:rsidP="001A7997">
    <w:pPr>
      <w:pStyle w:val="Footer"/>
      <w:jc w:val="right"/>
      <w:rPr>
        <w:rFonts w:ascii="Arial" w:hAnsi="Arial" w:cs="Arial"/>
      </w:rPr>
    </w:pPr>
    <w:r w:rsidRPr="0004341B">
      <w:rPr>
        <w:rFonts w:ascii="Arial" w:hAnsi="Arial" w:cs="Arial"/>
        <w:b/>
        <w:sz w:val="20"/>
      </w:rPr>
      <w:t>D</w:t>
    </w:r>
    <w:r w:rsidR="000967A0">
      <w:rPr>
        <w:rFonts w:ascii="Arial" w:hAnsi="Arial" w:cs="Arial"/>
        <w:b/>
        <w:sz w:val="20"/>
      </w:rPr>
      <w:t xml:space="preserve">eb </w:t>
    </w:r>
    <w:r w:rsidR="000417BD">
      <w:rPr>
        <w:rFonts w:ascii="Arial" w:hAnsi="Arial" w:cs="Arial"/>
        <w:b/>
        <w:sz w:val="20"/>
      </w:rPr>
      <w:t>Drew – Head of HR</w:t>
    </w:r>
    <w:r w:rsidRPr="0004341B">
      <w:rPr>
        <w:rFonts w:ascii="Arial" w:hAnsi="Arial" w:cs="Arial"/>
        <w:b/>
        <w:sz w:val="20"/>
      </w:rPr>
      <w:t xml:space="preserve">                                                                            </w:t>
    </w:r>
    <w:r w:rsidR="00E30F22">
      <w:rPr>
        <w:rFonts w:ascii="Arial" w:hAnsi="Arial" w:cs="Arial"/>
        <w:b/>
        <w:sz w:val="20"/>
      </w:rPr>
      <w:t>Updated: January 2018</w:t>
    </w:r>
    <w:r w:rsidRPr="0004341B">
      <w:rPr>
        <w:rFonts w:ascii="Arial" w:hAnsi="Arial" w:cs="Arial"/>
        <w:b/>
        <w:sz w:val="20"/>
      </w:rPr>
      <w:t xml:space="preserve">                           </w:t>
    </w:r>
    <w:r>
      <w:rPr>
        <w:rFonts w:ascii="Arial" w:hAnsi="Arial" w:cs="Arial"/>
        <w:sz w:val="20"/>
      </w:rPr>
      <w:t xml:space="preserve">                                      </w:t>
    </w:r>
    <w:r w:rsidR="00E30F22">
      <w:rPr>
        <w:rFonts w:ascii="Arial" w:hAnsi="Arial" w:cs="Arial"/>
        <w:sz w:val="20"/>
      </w:rPr>
      <w:t xml:space="preserve">                        </w:t>
    </w:r>
    <w:r>
      <w:rPr>
        <w:rFonts w:ascii="Arial" w:hAnsi="Arial" w:cs="Arial"/>
        <w:sz w:val="20"/>
      </w:rPr>
      <w:t xml:space="preserve"> </w:t>
    </w:r>
    <w:r w:rsidR="00443738" w:rsidRPr="001A0F7C">
      <w:rPr>
        <w:rFonts w:ascii="Arial" w:hAnsi="Arial" w:cs="Arial"/>
        <w:sz w:val="20"/>
      </w:rPr>
      <w:t xml:space="preserve">Page </w:t>
    </w:r>
    <w:r w:rsidR="00443738" w:rsidRPr="0004341B">
      <w:rPr>
        <w:rFonts w:ascii="Arial" w:hAnsi="Arial" w:cs="Arial"/>
        <w:b/>
        <w:sz w:val="20"/>
      </w:rPr>
      <w:fldChar w:fldCharType="begin"/>
    </w:r>
    <w:r w:rsidR="00443738" w:rsidRPr="0004341B">
      <w:rPr>
        <w:rFonts w:ascii="Arial" w:hAnsi="Arial" w:cs="Arial"/>
        <w:b/>
        <w:sz w:val="20"/>
      </w:rPr>
      <w:instrText xml:space="preserve"> PAGE </w:instrText>
    </w:r>
    <w:r w:rsidR="00443738" w:rsidRPr="0004341B">
      <w:rPr>
        <w:rFonts w:ascii="Arial" w:hAnsi="Arial" w:cs="Arial"/>
        <w:b/>
        <w:sz w:val="20"/>
      </w:rPr>
      <w:fldChar w:fldCharType="separate"/>
    </w:r>
    <w:r w:rsidR="00623986">
      <w:rPr>
        <w:rFonts w:ascii="Arial" w:hAnsi="Arial" w:cs="Arial"/>
        <w:b/>
        <w:noProof/>
        <w:sz w:val="20"/>
      </w:rPr>
      <w:t>1</w:t>
    </w:r>
    <w:r w:rsidR="00443738" w:rsidRPr="0004341B">
      <w:rPr>
        <w:rFonts w:ascii="Arial" w:hAnsi="Arial" w:cs="Arial"/>
        <w:b/>
        <w:sz w:val="20"/>
      </w:rPr>
      <w:fldChar w:fldCharType="end"/>
    </w:r>
    <w:r w:rsidR="00443738" w:rsidRPr="001A0F7C">
      <w:rPr>
        <w:rFonts w:ascii="Arial" w:hAnsi="Arial" w:cs="Arial"/>
        <w:sz w:val="20"/>
      </w:rPr>
      <w:t xml:space="preserve"> of</w:t>
    </w:r>
    <w:r w:rsidR="00443738" w:rsidRPr="0004341B">
      <w:rPr>
        <w:rFonts w:ascii="Arial" w:hAnsi="Arial" w:cs="Arial"/>
        <w:b/>
        <w:sz w:val="20"/>
      </w:rPr>
      <w:t xml:space="preserve"> </w:t>
    </w:r>
    <w:r w:rsidR="00443738" w:rsidRPr="0004341B">
      <w:rPr>
        <w:rFonts w:ascii="Arial" w:hAnsi="Arial" w:cs="Arial"/>
        <w:b/>
        <w:sz w:val="20"/>
      </w:rPr>
      <w:fldChar w:fldCharType="begin"/>
    </w:r>
    <w:r w:rsidR="00443738" w:rsidRPr="0004341B">
      <w:rPr>
        <w:rFonts w:ascii="Arial" w:hAnsi="Arial" w:cs="Arial"/>
        <w:b/>
        <w:sz w:val="20"/>
      </w:rPr>
      <w:instrText xml:space="preserve"> NUMPAGES </w:instrText>
    </w:r>
    <w:r w:rsidR="00443738" w:rsidRPr="0004341B">
      <w:rPr>
        <w:rFonts w:ascii="Arial" w:hAnsi="Arial" w:cs="Arial"/>
        <w:b/>
        <w:sz w:val="20"/>
      </w:rPr>
      <w:fldChar w:fldCharType="separate"/>
    </w:r>
    <w:r w:rsidR="00623986">
      <w:rPr>
        <w:rFonts w:ascii="Arial" w:hAnsi="Arial" w:cs="Arial"/>
        <w:b/>
        <w:noProof/>
        <w:sz w:val="20"/>
      </w:rPr>
      <w:t>4</w:t>
    </w:r>
    <w:r w:rsidR="00443738" w:rsidRPr="0004341B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FD" w:rsidRDefault="003C4FFD" w:rsidP="007E78F8">
      <w:r>
        <w:separator/>
      </w:r>
    </w:p>
  </w:footnote>
  <w:footnote w:type="continuationSeparator" w:id="0">
    <w:p w:rsidR="003C4FFD" w:rsidRDefault="003C4FFD" w:rsidP="007E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8" w:rsidRDefault="00443738" w:rsidP="004502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FBA23C" wp14:editId="498BB263">
          <wp:extent cx="2416030" cy="495837"/>
          <wp:effectExtent l="0" t="0" r="3810" b="0"/>
          <wp:docPr id="9" name="Picture 9" descr="WA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9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58667C"/>
    <w:multiLevelType w:val="hybridMultilevel"/>
    <w:tmpl w:val="E558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442E"/>
    <w:multiLevelType w:val="hybridMultilevel"/>
    <w:tmpl w:val="CBCC087A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1C3263CF"/>
    <w:multiLevelType w:val="hybridMultilevel"/>
    <w:tmpl w:val="9460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1750"/>
    <w:multiLevelType w:val="hybridMultilevel"/>
    <w:tmpl w:val="1090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E50"/>
    <w:multiLevelType w:val="hybridMultilevel"/>
    <w:tmpl w:val="473E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74A8B"/>
    <w:multiLevelType w:val="hybridMultilevel"/>
    <w:tmpl w:val="DC8C736E"/>
    <w:lvl w:ilvl="0" w:tplc="B8342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6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A8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E4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4E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A6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89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29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A2A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C2A50"/>
    <w:multiLevelType w:val="hybridMultilevel"/>
    <w:tmpl w:val="A83200CA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A6F00"/>
    <w:multiLevelType w:val="hybridMultilevel"/>
    <w:tmpl w:val="52EA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55C9C"/>
    <w:multiLevelType w:val="hybridMultilevel"/>
    <w:tmpl w:val="5A282DBA"/>
    <w:lvl w:ilvl="0" w:tplc="46965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2E54"/>
    <w:multiLevelType w:val="hybridMultilevel"/>
    <w:tmpl w:val="46DA9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2937"/>
    <w:multiLevelType w:val="hybridMultilevel"/>
    <w:tmpl w:val="A1F4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D013E"/>
    <w:multiLevelType w:val="hybridMultilevel"/>
    <w:tmpl w:val="C69E25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E991287"/>
    <w:multiLevelType w:val="hybridMultilevel"/>
    <w:tmpl w:val="BF522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6802D1"/>
    <w:multiLevelType w:val="hybridMultilevel"/>
    <w:tmpl w:val="69C88E02"/>
    <w:lvl w:ilvl="0" w:tplc="46965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4A1C"/>
    <w:multiLevelType w:val="hybridMultilevel"/>
    <w:tmpl w:val="BB7A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D31DF"/>
    <w:multiLevelType w:val="multilevel"/>
    <w:tmpl w:val="DF90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F4383"/>
    <w:multiLevelType w:val="hybridMultilevel"/>
    <w:tmpl w:val="6CE28A7A"/>
    <w:lvl w:ilvl="0" w:tplc="0809000D">
      <w:start w:val="1"/>
      <w:numFmt w:val="bullet"/>
      <w:lvlText w:val=""/>
      <w:lvlJc w:val="left"/>
      <w:pPr>
        <w:ind w:left="2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7">
    <w:nsid w:val="5EC32007"/>
    <w:multiLevelType w:val="hybridMultilevel"/>
    <w:tmpl w:val="83B07840"/>
    <w:lvl w:ilvl="0" w:tplc="C3AC14F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736FA"/>
    <w:multiLevelType w:val="multilevel"/>
    <w:tmpl w:val="CD5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F2B0E"/>
    <w:multiLevelType w:val="hybridMultilevel"/>
    <w:tmpl w:val="F7E0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16E42"/>
    <w:multiLevelType w:val="hybridMultilevel"/>
    <w:tmpl w:val="3E8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5505D"/>
    <w:multiLevelType w:val="hybridMultilevel"/>
    <w:tmpl w:val="09A8D9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4334A5"/>
    <w:multiLevelType w:val="hybridMultilevel"/>
    <w:tmpl w:val="845E8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B68B9"/>
    <w:multiLevelType w:val="hybridMultilevel"/>
    <w:tmpl w:val="CF22D2F6"/>
    <w:lvl w:ilvl="0" w:tplc="4696537A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8"/>
  </w:num>
  <w:num w:numId="5">
    <w:abstractNumId w:val="20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18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9"/>
  </w:num>
  <w:num w:numId="25">
    <w:abstractNumId w:val="22"/>
  </w:num>
  <w:num w:numId="26">
    <w:abstractNumId w:val="1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8"/>
    <w:rsid w:val="00000EE3"/>
    <w:rsid w:val="0000172E"/>
    <w:rsid w:val="000021EB"/>
    <w:rsid w:val="0000524C"/>
    <w:rsid w:val="000054DD"/>
    <w:rsid w:val="000057B4"/>
    <w:rsid w:val="00014C3B"/>
    <w:rsid w:val="00016A48"/>
    <w:rsid w:val="00031A2D"/>
    <w:rsid w:val="000417BD"/>
    <w:rsid w:val="0004341B"/>
    <w:rsid w:val="00044695"/>
    <w:rsid w:val="00044A8C"/>
    <w:rsid w:val="00046120"/>
    <w:rsid w:val="00046803"/>
    <w:rsid w:val="00047455"/>
    <w:rsid w:val="00051930"/>
    <w:rsid w:val="00054479"/>
    <w:rsid w:val="00056E69"/>
    <w:rsid w:val="000824FF"/>
    <w:rsid w:val="00087482"/>
    <w:rsid w:val="00090B0B"/>
    <w:rsid w:val="00090E6F"/>
    <w:rsid w:val="0009570B"/>
    <w:rsid w:val="00095DE2"/>
    <w:rsid w:val="000967A0"/>
    <w:rsid w:val="000A0A2C"/>
    <w:rsid w:val="000A29AD"/>
    <w:rsid w:val="000A3C76"/>
    <w:rsid w:val="000A5B08"/>
    <w:rsid w:val="000A64C6"/>
    <w:rsid w:val="000A7236"/>
    <w:rsid w:val="000B4BDC"/>
    <w:rsid w:val="000C1485"/>
    <w:rsid w:val="000C1E85"/>
    <w:rsid w:val="000C2D4B"/>
    <w:rsid w:val="000C3C69"/>
    <w:rsid w:val="000C4B1C"/>
    <w:rsid w:val="000D1593"/>
    <w:rsid w:val="000E4712"/>
    <w:rsid w:val="000E4FCF"/>
    <w:rsid w:val="000E6FB1"/>
    <w:rsid w:val="000E7086"/>
    <w:rsid w:val="00110425"/>
    <w:rsid w:val="00110CAE"/>
    <w:rsid w:val="00110EED"/>
    <w:rsid w:val="001146F1"/>
    <w:rsid w:val="00117C62"/>
    <w:rsid w:val="00121A39"/>
    <w:rsid w:val="00122307"/>
    <w:rsid w:val="00124718"/>
    <w:rsid w:val="001279F4"/>
    <w:rsid w:val="001516A1"/>
    <w:rsid w:val="00155788"/>
    <w:rsid w:val="00155B5D"/>
    <w:rsid w:val="00160374"/>
    <w:rsid w:val="0016109B"/>
    <w:rsid w:val="00162B76"/>
    <w:rsid w:val="00166F90"/>
    <w:rsid w:val="00170F18"/>
    <w:rsid w:val="00172A4B"/>
    <w:rsid w:val="001820F6"/>
    <w:rsid w:val="00186130"/>
    <w:rsid w:val="00187883"/>
    <w:rsid w:val="001938EE"/>
    <w:rsid w:val="00194313"/>
    <w:rsid w:val="00195188"/>
    <w:rsid w:val="00196243"/>
    <w:rsid w:val="00196C03"/>
    <w:rsid w:val="001A0F7C"/>
    <w:rsid w:val="001A51F3"/>
    <w:rsid w:val="001A7997"/>
    <w:rsid w:val="001C30D5"/>
    <w:rsid w:val="001C523F"/>
    <w:rsid w:val="001D08C6"/>
    <w:rsid w:val="001D6345"/>
    <w:rsid w:val="001F08D4"/>
    <w:rsid w:val="001F3663"/>
    <w:rsid w:val="001F5346"/>
    <w:rsid w:val="001F548D"/>
    <w:rsid w:val="002126AB"/>
    <w:rsid w:val="00213980"/>
    <w:rsid w:val="00226412"/>
    <w:rsid w:val="00226442"/>
    <w:rsid w:val="00227811"/>
    <w:rsid w:val="00230F6E"/>
    <w:rsid w:val="00232D30"/>
    <w:rsid w:val="002359D2"/>
    <w:rsid w:val="002362B6"/>
    <w:rsid w:val="00237B01"/>
    <w:rsid w:val="002418EB"/>
    <w:rsid w:val="002518B1"/>
    <w:rsid w:val="00257103"/>
    <w:rsid w:val="00264291"/>
    <w:rsid w:val="00264615"/>
    <w:rsid w:val="002655EA"/>
    <w:rsid w:val="00265B48"/>
    <w:rsid w:val="0026730B"/>
    <w:rsid w:val="00270BD1"/>
    <w:rsid w:val="0027178C"/>
    <w:rsid w:val="002733B6"/>
    <w:rsid w:val="0027468A"/>
    <w:rsid w:val="00275DBB"/>
    <w:rsid w:val="002830D8"/>
    <w:rsid w:val="00292417"/>
    <w:rsid w:val="002935F6"/>
    <w:rsid w:val="0029382D"/>
    <w:rsid w:val="00294835"/>
    <w:rsid w:val="002A071D"/>
    <w:rsid w:val="002A7FB8"/>
    <w:rsid w:val="002B06E8"/>
    <w:rsid w:val="002B2442"/>
    <w:rsid w:val="002B251E"/>
    <w:rsid w:val="002B47D3"/>
    <w:rsid w:val="002B5EF1"/>
    <w:rsid w:val="002B7906"/>
    <w:rsid w:val="002C1D26"/>
    <w:rsid w:val="002C2D06"/>
    <w:rsid w:val="002C40C1"/>
    <w:rsid w:val="002C420B"/>
    <w:rsid w:val="002C47A7"/>
    <w:rsid w:val="002D4D79"/>
    <w:rsid w:val="002E0789"/>
    <w:rsid w:val="002E21AC"/>
    <w:rsid w:val="002E2ED4"/>
    <w:rsid w:val="002E38B9"/>
    <w:rsid w:val="002E706A"/>
    <w:rsid w:val="002F1CB8"/>
    <w:rsid w:val="002F423E"/>
    <w:rsid w:val="002F539A"/>
    <w:rsid w:val="0030144B"/>
    <w:rsid w:val="003031A9"/>
    <w:rsid w:val="00304976"/>
    <w:rsid w:val="00304B90"/>
    <w:rsid w:val="0031247F"/>
    <w:rsid w:val="00314047"/>
    <w:rsid w:val="0031458D"/>
    <w:rsid w:val="00323A89"/>
    <w:rsid w:val="00324401"/>
    <w:rsid w:val="00326456"/>
    <w:rsid w:val="0032674A"/>
    <w:rsid w:val="0032752E"/>
    <w:rsid w:val="00330D85"/>
    <w:rsid w:val="00331DE6"/>
    <w:rsid w:val="00337DB7"/>
    <w:rsid w:val="0034625F"/>
    <w:rsid w:val="0034777D"/>
    <w:rsid w:val="003503F6"/>
    <w:rsid w:val="0035055A"/>
    <w:rsid w:val="00355D77"/>
    <w:rsid w:val="00362361"/>
    <w:rsid w:val="003658D7"/>
    <w:rsid w:val="00370657"/>
    <w:rsid w:val="003756E2"/>
    <w:rsid w:val="00375FE4"/>
    <w:rsid w:val="00386586"/>
    <w:rsid w:val="00386CF7"/>
    <w:rsid w:val="00387191"/>
    <w:rsid w:val="003937D8"/>
    <w:rsid w:val="003A40DD"/>
    <w:rsid w:val="003B4F4E"/>
    <w:rsid w:val="003B6E78"/>
    <w:rsid w:val="003C0E3C"/>
    <w:rsid w:val="003C0F28"/>
    <w:rsid w:val="003C4B6C"/>
    <w:rsid w:val="003C4FFD"/>
    <w:rsid w:val="003C6DC1"/>
    <w:rsid w:val="003C7C0E"/>
    <w:rsid w:val="003D7B0F"/>
    <w:rsid w:val="003E78E2"/>
    <w:rsid w:val="003F1CE4"/>
    <w:rsid w:val="003F4B75"/>
    <w:rsid w:val="00403551"/>
    <w:rsid w:val="004074DE"/>
    <w:rsid w:val="00407974"/>
    <w:rsid w:val="00410BD3"/>
    <w:rsid w:val="00415752"/>
    <w:rsid w:val="004223A0"/>
    <w:rsid w:val="00423869"/>
    <w:rsid w:val="00425F28"/>
    <w:rsid w:val="0042754C"/>
    <w:rsid w:val="00443738"/>
    <w:rsid w:val="00445226"/>
    <w:rsid w:val="00450205"/>
    <w:rsid w:val="004507E5"/>
    <w:rsid w:val="00455516"/>
    <w:rsid w:val="00456600"/>
    <w:rsid w:val="004575B3"/>
    <w:rsid w:val="00457796"/>
    <w:rsid w:val="00463104"/>
    <w:rsid w:val="0047344B"/>
    <w:rsid w:val="00481BA0"/>
    <w:rsid w:val="004846B6"/>
    <w:rsid w:val="0048777F"/>
    <w:rsid w:val="0049749B"/>
    <w:rsid w:val="004974A4"/>
    <w:rsid w:val="00497FDD"/>
    <w:rsid w:val="004B6500"/>
    <w:rsid w:val="004B7275"/>
    <w:rsid w:val="004B77A5"/>
    <w:rsid w:val="004C0028"/>
    <w:rsid w:val="004C00B7"/>
    <w:rsid w:val="004C0DE9"/>
    <w:rsid w:val="004C17E3"/>
    <w:rsid w:val="004C1C3E"/>
    <w:rsid w:val="004D057B"/>
    <w:rsid w:val="004E5C2D"/>
    <w:rsid w:val="004E66F2"/>
    <w:rsid w:val="004E6957"/>
    <w:rsid w:val="004E70CF"/>
    <w:rsid w:val="004F1DD5"/>
    <w:rsid w:val="004F1EB0"/>
    <w:rsid w:val="004F28DC"/>
    <w:rsid w:val="004F33E1"/>
    <w:rsid w:val="004F7510"/>
    <w:rsid w:val="00504628"/>
    <w:rsid w:val="00506E69"/>
    <w:rsid w:val="00512BE5"/>
    <w:rsid w:val="00523AA5"/>
    <w:rsid w:val="005304F6"/>
    <w:rsid w:val="00532490"/>
    <w:rsid w:val="00532DBC"/>
    <w:rsid w:val="00533B0E"/>
    <w:rsid w:val="00536A1B"/>
    <w:rsid w:val="00543A8D"/>
    <w:rsid w:val="00551A74"/>
    <w:rsid w:val="00552111"/>
    <w:rsid w:val="00552F10"/>
    <w:rsid w:val="00553343"/>
    <w:rsid w:val="00554E7C"/>
    <w:rsid w:val="00557F80"/>
    <w:rsid w:val="005752E1"/>
    <w:rsid w:val="005826EE"/>
    <w:rsid w:val="005865A5"/>
    <w:rsid w:val="005875A5"/>
    <w:rsid w:val="00587881"/>
    <w:rsid w:val="005A1E0E"/>
    <w:rsid w:val="005A3006"/>
    <w:rsid w:val="005A3741"/>
    <w:rsid w:val="005A69FC"/>
    <w:rsid w:val="005A7521"/>
    <w:rsid w:val="005B1DD8"/>
    <w:rsid w:val="005B2E3E"/>
    <w:rsid w:val="005B5000"/>
    <w:rsid w:val="005B721F"/>
    <w:rsid w:val="005C156B"/>
    <w:rsid w:val="005C1B17"/>
    <w:rsid w:val="005C1EF0"/>
    <w:rsid w:val="005C7E38"/>
    <w:rsid w:val="005D11A6"/>
    <w:rsid w:val="005D756D"/>
    <w:rsid w:val="005E5B5C"/>
    <w:rsid w:val="005F5D36"/>
    <w:rsid w:val="006031A1"/>
    <w:rsid w:val="00604330"/>
    <w:rsid w:val="00623986"/>
    <w:rsid w:val="006273AC"/>
    <w:rsid w:val="00634080"/>
    <w:rsid w:val="006346EA"/>
    <w:rsid w:val="00634E1A"/>
    <w:rsid w:val="00637311"/>
    <w:rsid w:val="006400F6"/>
    <w:rsid w:val="0064417C"/>
    <w:rsid w:val="006513AC"/>
    <w:rsid w:val="00651930"/>
    <w:rsid w:val="00656605"/>
    <w:rsid w:val="00661FF5"/>
    <w:rsid w:val="0066299F"/>
    <w:rsid w:val="006657AD"/>
    <w:rsid w:val="00671D64"/>
    <w:rsid w:val="00672245"/>
    <w:rsid w:val="00674300"/>
    <w:rsid w:val="0067493A"/>
    <w:rsid w:val="00677757"/>
    <w:rsid w:val="0068076E"/>
    <w:rsid w:val="00681505"/>
    <w:rsid w:val="006840A8"/>
    <w:rsid w:val="00686ABF"/>
    <w:rsid w:val="006911AB"/>
    <w:rsid w:val="00692238"/>
    <w:rsid w:val="006934B5"/>
    <w:rsid w:val="006A2F66"/>
    <w:rsid w:val="006B73DB"/>
    <w:rsid w:val="006E5AE3"/>
    <w:rsid w:val="006E6EF4"/>
    <w:rsid w:val="006F04D2"/>
    <w:rsid w:val="006F1E6C"/>
    <w:rsid w:val="006F1FA7"/>
    <w:rsid w:val="006F3823"/>
    <w:rsid w:val="006F3D10"/>
    <w:rsid w:val="006F4098"/>
    <w:rsid w:val="00700124"/>
    <w:rsid w:val="00700EB3"/>
    <w:rsid w:val="007137C7"/>
    <w:rsid w:val="0072183A"/>
    <w:rsid w:val="00724AEA"/>
    <w:rsid w:val="00730BA2"/>
    <w:rsid w:val="00730F87"/>
    <w:rsid w:val="007323F3"/>
    <w:rsid w:val="00732DE4"/>
    <w:rsid w:val="00736C6C"/>
    <w:rsid w:val="00745851"/>
    <w:rsid w:val="007501A7"/>
    <w:rsid w:val="007501D8"/>
    <w:rsid w:val="00756136"/>
    <w:rsid w:val="00761C44"/>
    <w:rsid w:val="00763199"/>
    <w:rsid w:val="007645A5"/>
    <w:rsid w:val="0077009C"/>
    <w:rsid w:val="0077424C"/>
    <w:rsid w:val="0077470A"/>
    <w:rsid w:val="0077572C"/>
    <w:rsid w:val="00775914"/>
    <w:rsid w:val="0077668F"/>
    <w:rsid w:val="00784B67"/>
    <w:rsid w:val="00785061"/>
    <w:rsid w:val="00797CA9"/>
    <w:rsid w:val="007A18FE"/>
    <w:rsid w:val="007A670B"/>
    <w:rsid w:val="007A7441"/>
    <w:rsid w:val="007A77C2"/>
    <w:rsid w:val="007B5102"/>
    <w:rsid w:val="007C3825"/>
    <w:rsid w:val="007C592E"/>
    <w:rsid w:val="007D32F9"/>
    <w:rsid w:val="007D6A10"/>
    <w:rsid w:val="007E3C07"/>
    <w:rsid w:val="007E78F8"/>
    <w:rsid w:val="007F1902"/>
    <w:rsid w:val="007F462D"/>
    <w:rsid w:val="008047CB"/>
    <w:rsid w:val="00806509"/>
    <w:rsid w:val="0082227B"/>
    <w:rsid w:val="008224DF"/>
    <w:rsid w:val="00822A94"/>
    <w:rsid w:val="008248EE"/>
    <w:rsid w:val="00826948"/>
    <w:rsid w:val="00837346"/>
    <w:rsid w:val="00837757"/>
    <w:rsid w:val="0083777A"/>
    <w:rsid w:val="00840806"/>
    <w:rsid w:val="008472C4"/>
    <w:rsid w:val="00854E14"/>
    <w:rsid w:val="00860C4B"/>
    <w:rsid w:val="008663A8"/>
    <w:rsid w:val="00871CC1"/>
    <w:rsid w:val="00880BFF"/>
    <w:rsid w:val="0088385C"/>
    <w:rsid w:val="00883E5C"/>
    <w:rsid w:val="0088494E"/>
    <w:rsid w:val="00885AC6"/>
    <w:rsid w:val="00891D51"/>
    <w:rsid w:val="00895CB4"/>
    <w:rsid w:val="00895EBB"/>
    <w:rsid w:val="008A2C6B"/>
    <w:rsid w:val="008A4833"/>
    <w:rsid w:val="008A61E6"/>
    <w:rsid w:val="008B397F"/>
    <w:rsid w:val="008B512A"/>
    <w:rsid w:val="008B7734"/>
    <w:rsid w:val="008C0F60"/>
    <w:rsid w:val="008C58E9"/>
    <w:rsid w:val="008C74C8"/>
    <w:rsid w:val="008D0638"/>
    <w:rsid w:val="008D325F"/>
    <w:rsid w:val="008D4E28"/>
    <w:rsid w:val="008D5A45"/>
    <w:rsid w:val="008D6CDF"/>
    <w:rsid w:val="008E147E"/>
    <w:rsid w:val="008E2131"/>
    <w:rsid w:val="008E374E"/>
    <w:rsid w:val="008E7384"/>
    <w:rsid w:val="008F6C4D"/>
    <w:rsid w:val="009043AE"/>
    <w:rsid w:val="00913044"/>
    <w:rsid w:val="00914C2D"/>
    <w:rsid w:val="009158F8"/>
    <w:rsid w:val="00920C25"/>
    <w:rsid w:val="00926DDA"/>
    <w:rsid w:val="00927D9E"/>
    <w:rsid w:val="00934DB2"/>
    <w:rsid w:val="00937C51"/>
    <w:rsid w:val="00942F90"/>
    <w:rsid w:val="00945CA4"/>
    <w:rsid w:val="009474BC"/>
    <w:rsid w:val="00953378"/>
    <w:rsid w:val="0095600D"/>
    <w:rsid w:val="0097014D"/>
    <w:rsid w:val="00970E7E"/>
    <w:rsid w:val="0097772F"/>
    <w:rsid w:val="00981288"/>
    <w:rsid w:val="00983FC3"/>
    <w:rsid w:val="00987B8C"/>
    <w:rsid w:val="009908B7"/>
    <w:rsid w:val="0099354F"/>
    <w:rsid w:val="00995103"/>
    <w:rsid w:val="009A4E90"/>
    <w:rsid w:val="009B3A63"/>
    <w:rsid w:val="009B4D78"/>
    <w:rsid w:val="009C2827"/>
    <w:rsid w:val="009C5624"/>
    <w:rsid w:val="009D343B"/>
    <w:rsid w:val="009D5179"/>
    <w:rsid w:val="009D77E6"/>
    <w:rsid w:val="009D7F06"/>
    <w:rsid w:val="009E0B56"/>
    <w:rsid w:val="009F3D1B"/>
    <w:rsid w:val="009F6AEA"/>
    <w:rsid w:val="00A02FF0"/>
    <w:rsid w:val="00A05D94"/>
    <w:rsid w:val="00A05D9D"/>
    <w:rsid w:val="00A0636D"/>
    <w:rsid w:val="00A245FD"/>
    <w:rsid w:val="00A31BFA"/>
    <w:rsid w:val="00A32C55"/>
    <w:rsid w:val="00A33157"/>
    <w:rsid w:val="00A36D60"/>
    <w:rsid w:val="00A424E2"/>
    <w:rsid w:val="00A52A38"/>
    <w:rsid w:val="00A653D7"/>
    <w:rsid w:val="00A65B5A"/>
    <w:rsid w:val="00A6669D"/>
    <w:rsid w:val="00A67B4F"/>
    <w:rsid w:val="00A71A36"/>
    <w:rsid w:val="00A723A9"/>
    <w:rsid w:val="00A74952"/>
    <w:rsid w:val="00A775D3"/>
    <w:rsid w:val="00A77608"/>
    <w:rsid w:val="00A86528"/>
    <w:rsid w:val="00A867E2"/>
    <w:rsid w:val="00A92991"/>
    <w:rsid w:val="00A935A0"/>
    <w:rsid w:val="00A9432D"/>
    <w:rsid w:val="00AA187D"/>
    <w:rsid w:val="00AA4BDF"/>
    <w:rsid w:val="00AA5D7D"/>
    <w:rsid w:val="00AB2A73"/>
    <w:rsid w:val="00AB5409"/>
    <w:rsid w:val="00AC1DE0"/>
    <w:rsid w:val="00AC39AC"/>
    <w:rsid w:val="00AC7979"/>
    <w:rsid w:val="00AD6A87"/>
    <w:rsid w:val="00AE60D4"/>
    <w:rsid w:val="00AF3879"/>
    <w:rsid w:val="00AF44D4"/>
    <w:rsid w:val="00B036BC"/>
    <w:rsid w:val="00B05E2E"/>
    <w:rsid w:val="00B06215"/>
    <w:rsid w:val="00B106CA"/>
    <w:rsid w:val="00B12CBC"/>
    <w:rsid w:val="00B131F8"/>
    <w:rsid w:val="00B15C58"/>
    <w:rsid w:val="00B16A4D"/>
    <w:rsid w:val="00B34350"/>
    <w:rsid w:val="00B3683D"/>
    <w:rsid w:val="00B4204B"/>
    <w:rsid w:val="00B45323"/>
    <w:rsid w:val="00B47B79"/>
    <w:rsid w:val="00B50F75"/>
    <w:rsid w:val="00B52E45"/>
    <w:rsid w:val="00B54252"/>
    <w:rsid w:val="00B55328"/>
    <w:rsid w:val="00B574FA"/>
    <w:rsid w:val="00B74927"/>
    <w:rsid w:val="00B86AFA"/>
    <w:rsid w:val="00B86B80"/>
    <w:rsid w:val="00B87B3A"/>
    <w:rsid w:val="00B93279"/>
    <w:rsid w:val="00B93330"/>
    <w:rsid w:val="00B9375D"/>
    <w:rsid w:val="00BA3D6D"/>
    <w:rsid w:val="00BA7F99"/>
    <w:rsid w:val="00BB1A15"/>
    <w:rsid w:val="00BB7647"/>
    <w:rsid w:val="00BC2365"/>
    <w:rsid w:val="00BC4CFF"/>
    <w:rsid w:val="00BC55D1"/>
    <w:rsid w:val="00BC6236"/>
    <w:rsid w:val="00BD5324"/>
    <w:rsid w:val="00BD7DA7"/>
    <w:rsid w:val="00BF0C5C"/>
    <w:rsid w:val="00BF2FEC"/>
    <w:rsid w:val="00BF504E"/>
    <w:rsid w:val="00BF640C"/>
    <w:rsid w:val="00BF7E9F"/>
    <w:rsid w:val="00C05AF7"/>
    <w:rsid w:val="00C121A4"/>
    <w:rsid w:val="00C12EFF"/>
    <w:rsid w:val="00C14A59"/>
    <w:rsid w:val="00C21496"/>
    <w:rsid w:val="00C24165"/>
    <w:rsid w:val="00C24DA0"/>
    <w:rsid w:val="00C24DDA"/>
    <w:rsid w:val="00C2535D"/>
    <w:rsid w:val="00C3234A"/>
    <w:rsid w:val="00C335F6"/>
    <w:rsid w:val="00C346EC"/>
    <w:rsid w:val="00C357BA"/>
    <w:rsid w:val="00C4320B"/>
    <w:rsid w:val="00C44161"/>
    <w:rsid w:val="00C45A54"/>
    <w:rsid w:val="00C52E7A"/>
    <w:rsid w:val="00C6556E"/>
    <w:rsid w:val="00C666E0"/>
    <w:rsid w:val="00C7388D"/>
    <w:rsid w:val="00C77AB5"/>
    <w:rsid w:val="00C81709"/>
    <w:rsid w:val="00C8518E"/>
    <w:rsid w:val="00C876B0"/>
    <w:rsid w:val="00CA03D5"/>
    <w:rsid w:val="00CB1759"/>
    <w:rsid w:val="00CD3442"/>
    <w:rsid w:val="00CD745F"/>
    <w:rsid w:val="00CE12C5"/>
    <w:rsid w:val="00CE395F"/>
    <w:rsid w:val="00CE5A13"/>
    <w:rsid w:val="00CF0C42"/>
    <w:rsid w:val="00CF7E73"/>
    <w:rsid w:val="00D05397"/>
    <w:rsid w:val="00D1025D"/>
    <w:rsid w:val="00D125F5"/>
    <w:rsid w:val="00D20775"/>
    <w:rsid w:val="00D21550"/>
    <w:rsid w:val="00D307FB"/>
    <w:rsid w:val="00D362F2"/>
    <w:rsid w:val="00D46C80"/>
    <w:rsid w:val="00D47236"/>
    <w:rsid w:val="00D50B45"/>
    <w:rsid w:val="00D52232"/>
    <w:rsid w:val="00D54F9E"/>
    <w:rsid w:val="00D55FC7"/>
    <w:rsid w:val="00D62FA4"/>
    <w:rsid w:val="00D63937"/>
    <w:rsid w:val="00D72427"/>
    <w:rsid w:val="00D7371A"/>
    <w:rsid w:val="00D73A57"/>
    <w:rsid w:val="00D77573"/>
    <w:rsid w:val="00D77A97"/>
    <w:rsid w:val="00D82874"/>
    <w:rsid w:val="00D8325D"/>
    <w:rsid w:val="00D8628E"/>
    <w:rsid w:val="00D917F9"/>
    <w:rsid w:val="00D95A19"/>
    <w:rsid w:val="00D97CBC"/>
    <w:rsid w:val="00DA239E"/>
    <w:rsid w:val="00DA2B50"/>
    <w:rsid w:val="00DB6C86"/>
    <w:rsid w:val="00DB7742"/>
    <w:rsid w:val="00DB786F"/>
    <w:rsid w:val="00DC05D6"/>
    <w:rsid w:val="00DC2D69"/>
    <w:rsid w:val="00DC3806"/>
    <w:rsid w:val="00DC57DC"/>
    <w:rsid w:val="00DC6C67"/>
    <w:rsid w:val="00DC7F1C"/>
    <w:rsid w:val="00DC7F60"/>
    <w:rsid w:val="00DD02AC"/>
    <w:rsid w:val="00DD3126"/>
    <w:rsid w:val="00DD7B64"/>
    <w:rsid w:val="00DF0DF8"/>
    <w:rsid w:val="00E00B72"/>
    <w:rsid w:val="00E01EB7"/>
    <w:rsid w:val="00E1142E"/>
    <w:rsid w:val="00E17D33"/>
    <w:rsid w:val="00E225A0"/>
    <w:rsid w:val="00E2633B"/>
    <w:rsid w:val="00E30F22"/>
    <w:rsid w:val="00E31AD1"/>
    <w:rsid w:val="00E3410C"/>
    <w:rsid w:val="00E3616C"/>
    <w:rsid w:val="00E4036A"/>
    <w:rsid w:val="00E4349D"/>
    <w:rsid w:val="00E51048"/>
    <w:rsid w:val="00E56057"/>
    <w:rsid w:val="00E6120B"/>
    <w:rsid w:val="00E74969"/>
    <w:rsid w:val="00E76129"/>
    <w:rsid w:val="00E8125C"/>
    <w:rsid w:val="00E82854"/>
    <w:rsid w:val="00E90D99"/>
    <w:rsid w:val="00E91890"/>
    <w:rsid w:val="00E93106"/>
    <w:rsid w:val="00E93837"/>
    <w:rsid w:val="00E95CFB"/>
    <w:rsid w:val="00E965B7"/>
    <w:rsid w:val="00E9799C"/>
    <w:rsid w:val="00EA4025"/>
    <w:rsid w:val="00EA485B"/>
    <w:rsid w:val="00EB2628"/>
    <w:rsid w:val="00EC0D25"/>
    <w:rsid w:val="00EC37CF"/>
    <w:rsid w:val="00EC5B15"/>
    <w:rsid w:val="00ED36D4"/>
    <w:rsid w:val="00EE5318"/>
    <w:rsid w:val="00EF5A2C"/>
    <w:rsid w:val="00F00B9D"/>
    <w:rsid w:val="00F0446B"/>
    <w:rsid w:val="00F05C2A"/>
    <w:rsid w:val="00F05E63"/>
    <w:rsid w:val="00F075EA"/>
    <w:rsid w:val="00F1310F"/>
    <w:rsid w:val="00F133E6"/>
    <w:rsid w:val="00F16C51"/>
    <w:rsid w:val="00F24346"/>
    <w:rsid w:val="00F2458F"/>
    <w:rsid w:val="00F27697"/>
    <w:rsid w:val="00F27FA9"/>
    <w:rsid w:val="00F37117"/>
    <w:rsid w:val="00F375DE"/>
    <w:rsid w:val="00F51038"/>
    <w:rsid w:val="00F5775A"/>
    <w:rsid w:val="00F6117B"/>
    <w:rsid w:val="00F62AA8"/>
    <w:rsid w:val="00F703A2"/>
    <w:rsid w:val="00F734C3"/>
    <w:rsid w:val="00F74501"/>
    <w:rsid w:val="00F773D0"/>
    <w:rsid w:val="00F81C50"/>
    <w:rsid w:val="00F95F6D"/>
    <w:rsid w:val="00F964CF"/>
    <w:rsid w:val="00FA5D90"/>
    <w:rsid w:val="00FB29D6"/>
    <w:rsid w:val="00FC3B4D"/>
    <w:rsid w:val="00FC3DC6"/>
    <w:rsid w:val="00FC44D0"/>
    <w:rsid w:val="00FC5466"/>
    <w:rsid w:val="00FC6E9E"/>
    <w:rsid w:val="00FC78F9"/>
    <w:rsid w:val="00FD198C"/>
    <w:rsid w:val="00FD4FA6"/>
    <w:rsid w:val="00FE48F5"/>
    <w:rsid w:val="00FF01D9"/>
    <w:rsid w:val="00FF5303"/>
    <w:rsid w:val="00FF6141"/>
    <w:rsid w:val="00FF6C9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7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777F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8777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48777F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78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78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78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E78F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E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8F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30F6E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B6E7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6E78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552F10"/>
    <w:rPr>
      <w:sz w:val="24"/>
      <w:szCs w:val="24"/>
      <w:lang w:eastAsia="en-US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6400F6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B12CB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021E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rsid w:val="0034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A18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8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8FE"/>
    <w:rPr>
      <w:b/>
      <w:bCs/>
      <w:lang w:eastAsia="en-US"/>
    </w:rPr>
  </w:style>
  <w:style w:type="paragraph" w:customStyle="1" w:styleId="Default">
    <w:name w:val="Default"/>
    <w:rsid w:val="004974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2BE5"/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90B0B"/>
    <w:rPr>
      <w:b/>
      <w:bCs/>
    </w:rPr>
  </w:style>
  <w:style w:type="paragraph" w:styleId="Title">
    <w:name w:val="Title"/>
    <w:basedOn w:val="Normal"/>
    <w:next w:val="Normal"/>
    <w:link w:val="TitleChar"/>
    <w:qFormat/>
    <w:rsid w:val="00A65B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B93279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93279"/>
    <w:rPr>
      <w:rFonts w:ascii="Arial" w:hAnsi="Arial" w:cs="Arial"/>
      <w:b/>
      <w:bCs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F4B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4373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7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777F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8777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48777F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78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78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78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E78F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E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8F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30F6E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B6E7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6E78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552F10"/>
    <w:rPr>
      <w:sz w:val="24"/>
      <w:szCs w:val="24"/>
      <w:lang w:eastAsia="en-US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6400F6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B12CB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021E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rsid w:val="0034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A18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8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8FE"/>
    <w:rPr>
      <w:b/>
      <w:bCs/>
      <w:lang w:eastAsia="en-US"/>
    </w:rPr>
  </w:style>
  <w:style w:type="paragraph" w:customStyle="1" w:styleId="Default">
    <w:name w:val="Default"/>
    <w:rsid w:val="004974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2BE5"/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90B0B"/>
    <w:rPr>
      <w:b/>
      <w:bCs/>
    </w:rPr>
  </w:style>
  <w:style w:type="paragraph" w:styleId="Title">
    <w:name w:val="Title"/>
    <w:basedOn w:val="Normal"/>
    <w:next w:val="Normal"/>
    <w:link w:val="TitleChar"/>
    <w:qFormat/>
    <w:rsid w:val="00A65B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B93279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93279"/>
    <w:rPr>
      <w:rFonts w:ascii="Arial" w:hAnsi="Arial" w:cs="Arial"/>
      <w:b/>
      <w:bCs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F4B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437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580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2232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5606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344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714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741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205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184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7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04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928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082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146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5331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808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75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7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4785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629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289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55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4373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076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607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0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428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192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619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30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2025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0414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94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132">
                  <w:marLeft w:val="0"/>
                  <w:marRight w:val="0"/>
                  <w:marTop w:val="0"/>
                  <w:marBottom w:val="0"/>
                  <w:divBdr>
                    <w:top w:val="single" w:sz="6" w:space="18" w:color="DCDDE2"/>
                    <w:left w:val="single" w:sz="6" w:space="18" w:color="DCDDE2"/>
                    <w:bottom w:val="single" w:sz="6" w:space="8" w:color="DCDDE2"/>
                    <w:right w:val="single" w:sz="6" w:space="18" w:color="DCDDE2"/>
                  </w:divBdr>
                  <w:divsChild>
                    <w:div w:id="503668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3E5EE"/>
                        <w:left w:val="single" w:sz="6" w:space="14" w:color="E3E5EE"/>
                        <w:bottom w:val="single" w:sz="6" w:space="14" w:color="E3E5EE"/>
                        <w:right w:val="single" w:sz="6" w:space="14" w:color="E3E5EE"/>
                      </w:divBdr>
                      <w:divsChild>
                        <w:div w:id="4648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739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870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75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1240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70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67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2985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2827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2994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99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19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610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017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28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012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0276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38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9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1906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0673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93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858">
                              <w:marLeft w:val="0"/>
                              <w:marRight w:val="195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2761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10" w:color="D7D6C2"/>
                                    <w:left w:val="single" w:sz="6" w:space="12" w:color="D7D6C2"/>
                                    <w:bottom w:val="single" w:sz="6" w:space="3" w:color="D7D6C2"/>
                                    <w:right w:val="single" w:sz="6" w:space="12" w:color="D7D6C2"/>
                                  </w:divBdr>
                                  <w:divsChild>
                                    <w:div w:id="9364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d\AppData\Local\Microsoft\Windows\Temporary%20Internet%20Files\Content.Outlook\UXLM7T8G\WAG%20CQUIN%20%20Update%20May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7708-EA05-419E-ACE6-671D4A59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WAG CQUIN  Update May 2016</Template>
  <TotalTime>0</TotalTime>
  <Pages>4</Pages>
  <Words>1220</Words>
  <Characters>6238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WORCESTERSHIRE ACUTE HOSPITALS NHS TRUST</vt:lpstr>
    </vt:vector>
  </TitlesOfParts>
  <Company>WHITS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WORCESTERSHIRE ACUTE HOSPITALS NHS TRUST</dc:title>
  <dc:creator>Drew, Deborah (Personnel)</dc:creator>
  <cp:lastModifiedBy>Baldwin, Shane (Human Resources)</cp:lastModifiedBy>
  <cp:revision>2</cp:revision>
  <cp:lastPrinted>2018-01-11T13:15:00Z</cp:lastPrinted>
  <dcterms:created xsi:type="dcterms:W3CDTF">2022-04-04T08:35:00Z</dcterms:created>
  <dcterms:modified xsi:type="dcterms:W3CDTF">2022-04-04T08:35:00Z</dcterms:modified>
</cp:coreProperties>
</file>