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9594" w:themeFill="accent2" w:themeFillTint="99"/>
        <w:tblLook w:val="04A0" w:firstRow="1" w:lastRow="0" w:firstColumn="1" w:lastColumn="0" w:noHBand="0" w:noVBand="1"/>
      </w:tblPr>
      <w:tblGrid>
        <w:gridCol w:w="9242"/>
      </w:tblGrid>
      <w:tr w:rsidR="00362FD7" w:rsidRPr="00840488" w:rsidTr="00143E19">
        <w:tc>
          <w:tcPr>
            <w:tcW w:w="9242" w:type="dxa"/>
            <w:shd w:val="clear" w:color="auto" w:fill="FBD4B4" w:themeFill="accent6" w:themeFillTint="66"/>
          </w:tcPr>
          <w:p w:rsidR="00362FD7" w:rsidRPr="00F10F63" w:rsidRDefault="00A25420" w:rsidP="00ED5D0D">
            <w:pPr>
              <w:jc w:val="center"/>
              <w:rPr>
                <w:rFonts w:ascii="Arial" w:hAnsi="Arial" w:cs="Arial"/>
                <w:b/>
                <w:color w:val="FF0000"/>
              </w:rPr>
            </w:pPr>
            <w:r>
              <w:rPr>
                <w:rFonts w:ascii="Arial" w:hAnsi="Arial" w:cs="Arial"/>
                <w:b/>
              </w:rPr>
              <w:t>Saf</w:t>
            </w:r>
            <w:r w:rsidR="00DA20F8">
              <w:rPr>
                <w:rFonts w:ascii="Arial" w:hAnsi="Arial" w:cs="Arial"/>
                <w:b/>
              </w:rPr>
              <w:t xml:space="preserve">er </w:t>
            </w:r>
            <w:r w:rsidR="002B1236">
              <w:rPr>
                <w:rFonts w:ascii="Arial" w:hAnsi="Arial" w:cs="Arial"/>
                <w:b/>
              </w:rPr>
              <w:t xml:space="preserve">Nurse/Midwifery </w:t>
            </w:r>
            <w:r w:rsidR="00DA20F8">
              <w:rPr>
                <w:rFonts w:ascii="Arial" w:hAnsi="Arial" w:cs="Arial"/>
                <w:b/>
              </w:rPr>
              <w:t xml:space="preserve">Staffing – </w:t>
            </w:r>
            <w:r w:rsidR="00ED5D0D">
              <w:rPr>
                <w:rFonts w:ascii="Arial" w:hAnsi="Arial" w:cs="Arial"/>
                <w:b/>
              </w:rPr>
              <w:t>June and July</w:t>
            </w:r>
            <w:r w:rsidR="00DA20F8">
              <w:rPr>
                <w:rFonts w:ascii="Arial" w:hAnsi="Arial" w:cs="Arial"/>
                <w:b/>
              </w:rPr>
              <w:t xml:space="preserve"> 2018 </w:t>
            </w:r>
            <w:r w:rsidR="00DC6768">
              <w:rPr>
                <w:rFonts w:ascii="Arial" w:hAnsi="Arial" w:cs="Arial"/>
                <w:b/>
              </w:rPr>
              <w:t>data</w:t>
            </w:r>
          </w:p>
        </w:tc>
      </w:tr>
    </w:tbl>
    <w:p w:rsidR="00362FD7" w:rsidRDefault="00362FD7" w:rsidP="00362FD7">
      <w:pPr>
        <w:spacing w:after="0" w:line="240" w:lineRule="auto"/>
        <w:rPr>
          <w:rFonts w:ascii="Arial" w:hAnsi="Arial" w:cs="Arial"/>
        </w:rPr>
      </w:pPr>
    </w:p>
    <w:tbl>
      <w:tblPr>
        <w:tblStyle w:val="TableGrid"/>
        <w:tblW w:w="7677" w:type="dxa"/>
        <w:tblInd w:w="959" w:type="dxa"/>
        <w:tblLook w:val="04A0" w:firstRow="1" w:lastRow="0" w:firstColumn="1" w:lastColumn="0" w:noHBand="0" w:noVBand="1"/>
      </w:tblPr>
      <w:tblGrid>
        <w:gridCol w:w="2104"/>
        <w:gridCol w:w="425"/>
        <w:gridCol w:w="1821"/>
        <w:gridCol w:w="425"/>
        <w:gridCol w:w="2477"/>
        <w:gridCol w:w="425"/>
      </w:tblGrid>
      <w:tr w:rsidR="00362FD7" w:rsidRPr="00840488" w:rsidTr="00143E19">
        <w:tc>
          <w:tcPr>
            <w:tcW w:w="1966" w:type="dxa"/>
            <w:shd w:val="clear" w:color="auto" w:fill="FBD4B4" w:themeFill="accent6" w:themeFillTint="66"/>
            <w:vAlign w:val="center"/>
          </w:tcPr>
          <w:p w:rsidR="00362FD7" w:rsidRPr="00840488" w:rsidRDefault="00362FD7" w:rsidP="00362FD7">
            <w:pPr>
              <w:rPr>
                <w:rFonts w:ascii="Arial" w:hAnsi="Arial" w:cs="Arial"/>
              </w:rPr>
            </w:pPr>
            <w:r w:rsidRPr="00840488">
              <w:rPr>
                <w:rFonts w:ascii="Arial" w:hAnsi="Arial" w:cs="Arial"/>
              </w:rPr>
              <w:t>For approval:</w:t>
            </w:r>
          </w:p>
        </w:tc>
        <w:tc>
          <w:tcPr>
            <w:tcW w:w="397" w:type="dxa"/>
            <w:vAlign w:val="center"/>
          </w:tcPr>
          <w:p w:rsidR="00362FD7" w:rsidRPr="00840488" w:rsidRDefault="00362FD7" w:rsidP="00362FD7">
            <w:pPr>
              <w:rPr>
                <w:rFonts w:ascii="Arial" w:hAnsi="Arial" w:cs="Arial"/>
              </w:rPr>
            </w:pPr>
          </w:p>
        </w:tc>
        <w:tc>
          <w:tcPr>
            <w:tcW w:w="1701" w:type="dxa"/>
            <w:shd w:val="clear" w:color="auto" w:fill="FBD4B4" w:themeFill="accent6" w:themeFillTint="66"/>
            <w:vAlign w:val="center"/>
          </w:tcPr>
          <w:p w:rsidR="00362FD7" w:rsidRPr="00840488" w:rsidRDefault="00362FD7" w:rsidP="00362FD7">
            <w:pPr>
              <w:rPr>
                <w:rFonts w:ascii="Arial" w:hAnsi="Arial" w:cs="Arial"/>
              </w:rPr>
            </w:pPr>
            <w:r w:rsidRPr="00840488">
              <w:rPr>
                <w:rFonts w:ascii="Arial" w:hAnsi="Arial" w:cs="Arial"/>
              </w:rPr>
              <w:t>For assurance:</w:t>
            </w:r>
          </w:p>
        </w:tc>
        <w:tc>
          <w:tcPr>
            <w:tcW w:w="397" w:type="dxa"/>
            <w:tcBorders>
              <w:right w:val="single" w:sz="4" w:space="0" w:color="auto"/>
            </w:tcBorders>
          </w:tcPr>
          <w:p w:rsidR="00362FD7" w:rsidRPr="00840488" w:rsidRDefault="00127961" w:rsidP="00362FD7">
            <w:pPr>
              <w:rPr>
                <w:rFonts w:ascii="Arial" w:hAnsi="Arial" w:cs="Arial"/>
              </w:rPr>
            </w:pPr>
            <w:r>
              <w:rPr>
                <w:rFonts w:ascii="Arial" w:hAnsi="Arial" w:cs="Arial"/>
              </w:rPr>
              <w:t>x</w:t>
            </w:r>
          </w:p>
        </w:tc>
        <w:tc>
          <w:tcPr>
            <w:tcW w:w="2314" w:type="dxa"/>
            <w:shd w:val="clear" w:color="auto" w:fill="FBD4B4" w:themeFill="accent6" w:themeFillTint="66"/>
            <w:vAlign w:val="center"/>
          </w:tcPr>
          <w:p w:rsidR="00362FD7" w:rsidRPr="00840488" w:rsidRDefault="002E4321" w:rsidP="003B4548">
            <w:pPr>
              <w:rPr>
                <w:rFonts w:ascii="Arial" w:hAnsi="Arial" w:cs="Arial"/>
              </w:rPr>
            </w:pPr>
            <w:r>
              <w:rPr>
                <w:rFonts w:ascii="Arial" w:hAnsi="Arial" w:cs="Arial"/>
              </w:rPr>
              <w:t xml:space="preserve">To </w:t>
            </w:r>
            <w:r w:rsidR="003B4548">
              <w:rPr>
                <w:rFonts w:ascii="Arial" w:hAnsi="Arial" w:cs="Arial"/>
              </w:rPr>
              <w:t>note</w:t>
            </w:r>
            <w:r w:rsidR="00362FD7" w:rsidRPr="00840488">
              <w:rPr>
                <w:rFonts w:ascii="Arial" w:hAnsi="Arial" w:cs="Arial"/>
              </w:rPr>
              <w:t>:</w:t>
            </w:r>
          </w:p>
        </w:tc>
        <w:tc>
          <w:tcPr>
            <w:tcW w:w="397" w:type="dxa"/>
          </w:tcPr>
          <w:p w:rsidR="00362FD7" w:rsidRPr="00840488" w:rsidRDefault="00362FD7" w:rsidP="00362FD7">
            <w:pPr>
              <w:rPr>
                <w:rFonts w:ascii="Arial" w:hAnsi="Arial" w:cs="Arial"/>
              </w:rPr>
            </w:pPr>
          </w:p>
        </w:tc>
      </w:tr>
    </w:tbl>
    <w:p w:rsidR="00865722" w:rsidRDefault="00865722" w:rsidP="00362FD7">
      <w:pPr>
        <w:spacing w:after="0" w:line="240" w:lineRule="auto"/>
        <w:rPr>
          <w:rFonts w:ascii="Arial" w:hAnsi="Arial" w:cs="Arial"/>
        </w:rPr>
      </w:pPr>
    </w:p>
    <w:tbl>
      <w:tblPr>
        <w:tblStyle w:val="TableGrid"/>
        <w:tblW w:w="9322" w:type="dxa"/>
        <w:tblLook w:val="04A0" w:firstRow="1" w:lastRow="0" w:firstColumn="1" w:lastColumn="0" w:noHBand="0" w:noVBand="1"/>
      </w:tblPr>
      <w:tblGrid>
        <w:gridCol w:w="2518"/>
        <w:gridCol w:w="221"/>
        <w:gridCol w:w="382"/>
        <w:gridCol w:w="2090"/>
        <w:gridCol w:w="609"/>
        <w:gridCol w:w="382"/>
        <w:gridCol w:w="285"/>
        <w:gridCol w:w="2453"/>
        <w:gridCol w:w="382"/>
      </w:tblGrid>
      <w:tr w:rsidR="00362FD7" w:rsidRPr="00840488" w:rsidTr="00AC452A">
        <w:tc>
          <w:tcPr>
            <w:tcW w:w="2518" w:type="dxa"/>
          </w:tcPr>
          <w:p w:rsidR="00362FD7" w:rsidRPr="00F10F63" w:rsidRDefault="00362FD7" w:rsidP="00DC6768">
            <w:pPr>
              <w:rPr>
                <w:rFonts w:ascii="Arial" w:hAnsi="Arial" w:cs="Arial"/>
                <w:b/>
              </w:rPr>
            </w:pPr>
            <w:r w:rsidRPr="00F10F63">
              <w:rPr>
                <w:rFonts w:ascii="Arial" w:hAnsi="Arial" w:cs="Arial"/>
                <w:b/>
              </w:rPr>
              <w:t>Accountable Director</w:t>
            </w:r>
          </w:p>
          <w:p w:rsidR="00362FD7" w:rsidRPr="00F10F63" w:rsidRDefault="00362FD7" w:rsidP="00DC6768">
            <w:pPr>
              <w:rPr>
                <w:rFonts w:ascii="Arial" w:hAnsi="Arial" w:cs="Arial"/>
                <w:b/>
              </w:rPr>
            </w:pPr>
          </w:p>
        </w:tc>
        <w:tc>
          <w:tcPr>
            <w:tcW w:w="6804" w:type="dxa"/>
            <w:gridSpan w:val="8"/>
          </w:tcPr>
          <w:p w:rsidR="00362FD7" w:rsidRPr="00840488" w:rsidRDefault="00A25420" w:rsidP="002B1236">
            <w:pPr>
              <w:rPr>
                <w:rFonts w:ascii="Arial" w:hAnsi="Arial" w:cs="Arial"/>
              </w:rPr>
            </w:pPr>
            <w:r>
              <w:rPr>
                <w:rFonts w:ascii="Arial" w:hAnsi="Arial" w:cs="Arial"/>
              </w:rPr>
              <w:t>Vicky Morris C</w:t>
            </w:r>
            <w:r w:rsidR="002B1236">
              <w:rPr>
                <w:rFonts w:ascii="Arial" w:hAnsi="Arial" w:cs="Arial"/>
              </w:rPr>
              <w:t>hief Nursing Officer</w:t>
            </w:r>
          </w:p>
        </w:tc>
      </w:tr>
      <w:tr w:rsidR="00362FD7" w:rsidRPr="00840488" w:rsidTr="00AC452A">
        <w:tc>
          <w:tcPr>
            <w:tcW w:w="2518" w:type="dxa"/>
            <w:tcBorders>
              <w:bottom w:val="single" w:sz="4" w:space="0" w:color="auto"/>
            </w:tcBorders>
          </w:tcPr>
          <w:p w:rsidR="00362FD7" w:rsidRPr="00F10F63" w:rsidRDefault="00362FD7" w:rsidP="00DC6768">
            <w:pPr>
              <w:rPr>
                <w:rFonts w:ascii="Arial" w:hAnsi="Arial" w:cs="Arial"/>
                <w:b/>
              </w:rPr>
            </w:pPr>
            <w:r w:rsidRPr="00F10F63">
              <w:rPr>
                <w:rFonts w:ascii="Arial" w:hAnsi="Arial" w:cs="Arial"/>
                <w:b/>
              </w:rPr>
              <w:t>Presented by</w:t>
            </w:r>
          </w:p>
          <w:p w:rsidR="00362FD7" w:rsidRPr="00F10F63" w:rsidRDefault="00362FD7" w:rsidP="00DC6768">
            <w:pPr>
              <w:rPr>
                <w:rFonts w:ascii="Arial" w:hAnsi="Arial" w:cs="Arial"/>
                <w:b/>
              </w:rPr>
            </w:pPr>
          </w:p>
        </w:tc>
        <w:tc>
          <w:tcPr>
            <w:tcW w:w="2693" w:type="dxa"/>
            <w:gridSpan w:val="3"/>
            <w:tcBorders>
              <w:bottom w:val="single" w:sz="4" w:space="0" w:color="auto"/>
            </w:tcBorders>
          </w:tcPr>
          <w:p w:rsidR="00362FD7" w:rsidRPr="00840488" w:rsidRDefault="002B1236" w:rsidP="00DC6768">
            <w:pPr>
              <w:rPr>
                <w:rFonts w:ascii="Arial" w:hAnsi="Arial" w:cs="Arial"/>
              </w:rPr>
            </w:pPr>
            <w:r>
              <w:rPr>
                <w:rFonts w:ascii="Arial" w:hAnsi="Arial" w:cs="Arial"/>
              </w:rPr>
              <w:t>Jackie Edwards Deputy Chief Nurse (Quality)</w:t>
            </w:r>
          </w:p>
        </w:tc>
        <w:tc>
          <w:tcPr>
            <w:tcW w:w="1276" w:type="dxa"/>
            <w:gridSpan w:val="3"/>
            <w:tcBorders>
              <w:bottom w:val="single" w:sz="4" w:space="0" w:color="auto"/>
            </w:tcBorders>
          </w:tcPr>
          <w:p w:rsidR="00362FD7" w:rsidRPr="00F10F63" w:rsidRDefault="00362FD7" w:rsidP="00362FD7">
            <w:pPr>
              <w:rPr>
                <w:rFonts w:ascii="Arial" w:hAnsi="Arial" w:cs="Arial"/>
                <w:b/>
              </w:rPr>
            </w:pPr>
            <w:r w:rsidRPr="00F10F63">
              <w:rPr>
                <w:rFonts w:ascii="Arial" w:hAnsi="Arial" w:cs="Arial"/>
                <w:b/>
              </w:rPr>
              <w:t>Author</w:t>
            </w:r>
            <w:r w:rsidR="00AC452A">
              <w:rPr>
                <w:rFonts w:ascii="Arial" w:hAnsi="Arial" w:cs="Arial"/>
                <w:b/>
              </w:rPr>
              <w:t xml:space="preserve"> </w:t>
            </w:r>
          </w:p>
          <w:p w:rsidR="00362FD7" w:rsidRPr="00840488" w:rsidRDefault="00362FD7" w:rsidP="00DC6768">
            <w:pPr>
              <w:rPr>
                <w:rFonts w:ascii="Arial" w:hAnsi="Arial" w:cs="Arial"/>
              </w:rPr>
            </w:pPr>
          </w:p>
        </w:tc>
        <w:tc>
          <w:tcPr>
            <w:tcW w:w="2835" w:type="dxa"/>
            <w:gridSpan w:val="2"/>
            <w:tcBorders>
              <w:bottom w:val="single" w:sz="4" w:space="0" w:color="auto"/>
            </w:tcBorders>
          </w:tcPr>
          <w:p w:rsidR="00362FD7" w:rsidRPr="00840488" w:rsidRDefault="002B1236" w:rsidP="00DC6768">
            <w:pPr>
              <w:rPr>
                <w:rFonts w:ascii="Arial" w:hAnsi="Arial" w:cs="Arial"/>
              </w:rPr>
            </w:pPr>
            <w:r>
              <w:rPr>
                <w:rFonts w:ascii="Arial" w:hAnsi="Arial" w:cs="Arial"/>
              </w:rPr>
              <w:t>Jackie Edwards Deputy Chief Nurse (Quality)</w:t>
            </w:r>
          </w:p>
        </w:tc>
      </w:tr>
      <w:tr w:rsidR="00362FD7" w:rsidTr="00362FD7">
        <w:tc>
          <w:tcPr>
            <w:tcW w:w="9322" w:type="dxa"/>
            <w:gridSpan w:val="9"/>
            <w:tcBorders>
              <w:left w:val="nil"/>
              <w:right w:val="nil"/>
            </w:tcBorders>
          </w:tcPr>
          <w:p w:rsidR="00362FD7" w:rsidRPr="00F10F63" w:rsidRDefault="00362FD7" w:rsidP="00362FD7">
            <w:pPr>
              <w:rPr>
                <w:rFonts w:ascii="Arial" w:hAnsi="Arial" w:cs="Arial"/>
                <w:b/>
              </w:rPr>
            </w:pPr>
          </w:p>
        </w:tc>
      </w:tr>
      <w:tr w:rsidR="00362FD7" w:rsidTr="00362FD7">
        <w:tc>
          <w:tcPr>
            <w:tcW w:w="9322" w:type="dxa"/>
            <w:gridSpan w:val="9"/>
          </w:tcPr>
          <w:p w:rsidR="00362FD7" w:rsidRDefault="00362FD7" w:rsidP="00362FD7">
            <w:pPr>
              <w:rPr>
                <w:rFonts w:ascii="Arial" w:hAnsi="Arial" w:cs="Arial"/>
              </w:rPr>
            </w:pPr>
            <w:r w:rsidRPr="00F10F63">
              <w:rPr>
                <w:rFonts w:ascii="Arial" w:hAnsi="Arial" w:cs="Arial"/>
                <w:b/>
              </w:rPr>
              <w:t>Alignment to the Trust’s strategic priorities</w:t>
            </w:r>
          </w:p>
        </w:tc>
      </w:tr>
      <w:tr w:rsidR="00362FD7" w:rsidTr="00362FD7">
        <w:tc>
          <w:tcPr>
            <w:tcW w:w="2739" w:type="dxa"/>
            <w:gridSpan w:val="2"/>
          </w:tcPr>
          <w:p w:rsidR="00362FD7" w:rsidRDefault="00362FD7" w:rsidP="00362FD7">
            <w:pPr>
              <w:rPr>
                <w:rFonts w:ascii="Arial" w:hAnsi="Arial" w:cs="Arial"/>
              </w:rPr>
            </w:pPr>
            <w:r w:rsidRPr="007E2FB4">
              <w:rPr>
                <w:rFonts w:ascii="Arial" w:hAnsi="Arial" w:cs="Arial"/>
                <w:iCs/>
                <w:color w:val="000000"/>
              </w:rPr>
              <w:t>Deliver safe, high quality, compassionate patient care</w:t>
            </w:r>
          </w:p>
        </w:tc>
        <w:tc>
          <w:tcPr>
            <w:tcW w:w="382" w:type="dxa"/>
          </w:tcPr>
          <w:p w:rsidR="00362FD7" w:rsidRDefault="00127961" w:rsidP="00DC6768">
            <w:pPr>
              <w:rPr>
                <w:rFonts w:ascii="Arial" w:hAnsi="Arial" w:cs="Arial"/>
              </w:rPr>
            </w:pPr>
            <w:r>
              <w:rPr>
                <w:rFonts w:ascii="Arial" w:hAnsi="Arial" w:cs="Arial"/>
                <w:b/>
                <w:bCs/>
                <w:lang w:eastAsia="en-PH"/>
              </w:rPr>
              <w:t>x</w:t>
            </w:r>
          </w:p>
        </w:tc>
        <w:tc>
          <w:tcPr>
            <w:tcW w:w="2699" w:type="dxa"/>
            <w:gridSpan w:val="2"/>
          </w:tcPr>
          <w:p w:rsidR="00362FD7" w:rsidRDefault="00362FD7" w:rsidP="00362FD7">
            <w:pPr>
              <w:rPr>
                <w:rFonts w:ascii="Arial" w:hAnsi="Arial" w:cs="Arial"/>
              </w:rPr>
            </w:pPr>
            <w:r w:rsidRPr="007E2FB4">
              <w:rPr>
                <w:rFonts w:ascii="Arial" w:hAnsi="Arial" w:cs="Arial"/>
                <w:iCs/>
                <w:color w:val="000000"/>
              </w:rPr>
              <w:t>Design healthcare around the needs of our patients, with our partners</w:t>
            </w:r>
          </w:p>
        </w:tc>
        <w:tc>
          <w:tcPr>
            <w:tcW w:w="382" w:type="dxa"/>
          </w:tcPr>
          <w:p w:rsidR="00362FD7" w:rsidRDefault="00362FD7" w:rsidP="00362FD7">
            <w:pPr>
              <w:rPr>
                <w:rFonts w:ascii="Arial" w:hAnsi="Arial" w:cs="Arial"/>
              </w:rPr>
            </w:pPr>
          </w:p>
        </w:tc>
        <w:tc>
          <w:tcPr>
            <w:tcW w:w="2738" w:type="dxa"/>
            <w:gridSpan w:val="2"/>
          </w:tcPr>
          <w:p w:rsidR="00362FD7" w:rsidRPr="007E2FB4" w:rsidRDefault="00362FD7" w:rsidP="00DC6768">
            <w:pPr>
              <w:rPr>
                <w:rFonts w:ascii="Arial" w:hAnsi="Arial" w:cs="Arial"/>
                <w:b/>
              </w:rPr>
            </w:pPr>
            <w:r w:rsidRPr="007E2FB4">
              <w:rPr>
                <w:rFonts w:ascii="Arial" w:hAnsi="Arial" w:cs="Arial"/>
                <w:iCs/>
                <w:color w:val="000000"/>
              </w:rPr>
              <w:t>Invest and realise the full potential of our staff to provide compassionate and personalised care</w:t>
            </w:r>
          </w:p>
        </w:tc>
        <w:tc>
          <w:tcPr>
            <w:tcW w:w="382" w:type="dxa"/>
          </w:tcPr>
          <w:p w:rsidR="00362FD7" w:rsidRDefault="00362FD7" w:rsidP="00DC6768">
            <w:pPr>
              <w:rPr>
                <w:rFonts w:ascii="Arial" w:hAnsi="Arial" w:cs="Arial"/>
              </w:rPr>
            </w:pPr>
          </w:p>
        </w:tc>
      </w:tr>
      <w:tr w:rsidR="00362FD7" w:rsidTr="00362FD7">
        <w:tc>
          <w:tcPr>
            <w:tcW w:w="2739" w:type="dxa"/>
            <w:gridSpan w:val="2"/>
            <w:tcBorders>
              <w:bottom w:val="single" w:sz="4" w:space="0" w:color="auto"/>
            </w:tcBorders>
          </w:tcPr>
          <w:p w:rsidR="00362FD7" w:rsidRPr="007E2FB4" w:rsidRDefault="00362FD7" w:rsidP="00DC6768">
            <w:pPr>
              <w:rPr>
                <w:rFonts w:ascii="Arial" w:hAnsi="Arial" w:cs="Arial"/>
                <w:iCs/>
                <w:color w:val="000000"/>
              </w:rPr>
            </w:pPr>
            <w:r w:rsidRPr="007E2FB4">
              <w:rPr>
                <w:rFonts w:ascii="Arial" w:hAnsi="Arial" w:cs="Arial"/>
                <w:iCs/>
                <w:color w:val="000000"/>
              </w:rPr>
              <w:t>Ensure the Trust is financially viable and makes the best use of resources for our patients</w:t>
            </w:r>
          </w:p>
        </w:tc>
        <w:tc>
          <w:tcPr>
            <w:tcW w:w="382" w:type="dxa"/>
            <w:tcBorders>
              <w:bottom w:val="single" w:sz="4" w:space="0" w:color="auto"/>
            </w:tcBorders>
          </w:tcPr>
          <w:p w:rsidR="00362FD7" w:rsidRDefault="00362FD7" w:rsidP="00362FD7">
            <w:pPr>
              <w:rPr>
                <w:rFonts w:ascii="Arial" w:hAnsi="Arial" w:cs="Arial"/>
              </w:rPr>
            </w:pPr>
          </w:p>
        </w:tc>
        <w:tc>
          <w:tcPr>
            <w:tcW w:w="2699" w:type="dxa"/>
            <w:gridSpan w:val="2"/>
            <w:tcBorders>
              <w:bottom w:val="single" w:sz="4" w:space="0" w:color="auto"/>
            </w:tcBorders>
          </w:tcPr>
          <w:p w:rsidR="00362FD7" w:rsidRDefault="00E12B80" w:rsidP="00362FD7">
            <w:pPr>
              <w:rPr>
                <w:rFonts w:ascii="Arial" w:hAnsi="Arial" w:cs="Arial"/>
              </w:rPr>
            </w:pPr>
            <w:r>
              <w:rPr>
                <w:rFonts w:ascii="Arial" w:hAnsi="Arial" w:cs="Arial"/>
                <w:iCs/>
                <w:color w:val="000000"/>
              </w:rPr>
              <w:t>Continuously improve our services to secure our reputation as the local provider of choice</w:t>
            </w:r>
          </w:p>
        </w:tc>
        <w:tc>
          <w:tcPr>
            <w:tcW w:w="382" w:type="dxa"/>
            <w:tcBorders>
              <w:bottom w:val="single" w:sz="4" w:space="0" w:color="auto"/>
            </w:tcBorders>
          </w:tcPr>
          <w:p w:rsidR="00362FD7" w:rsidRDefault="00362FD7" w:rsidP="00362FD7">
            <w:pPr>
              <w:rPr>
                <w:rFonts w:ascii="Arial" w:hAnsi="Arial" w:cs="Arial"/>
              </w:rPr>
            </w:pPr>
          </w:p>
        </w:tc>
        <w:tc>
          <w:tcPr>
            <w:tcW w:w="2738" w:type="dxa"/>
            <w:gridSpan w:val="2"/>
            <w:tcBorders>
              <w:bottom w:val="single" w:sz="4" w:space="0" w:color="auto"/>
            </w:tcBorders>
          </w:tcPr>
          <w:p w:rsidR="00362FD7" w:rsidRDefault="00362FD7" w:rsidP="00362FD7">
            <w:pPr>
              <w:rPr>
                <w:rFonts w:ascii="Arial" w:hAnsi="Arial" w:cs="Arial"/>
              </w:rPr>
            </w:pPr>
          </w:p>
        </w:tc>
        <w:tc>
          <w:tcPr>
            <w:tcW w:w="382" w:type="dxa"/>
            <w:tcBorders>
              <w:bottom w:val="single" w:sz="4" w:space="0" w:color="auto"/>
            </w:tcBorders>
          </w:tcPr>
          <w:p w:rsidR="00362FD7" w:rsidRDefault="00362FD7" w:rsidP="00362FD7">
            <w:pPr>
              <w:rPr>
                <w:rFonts w:ascii="Arial" w:hAnsi="Arial" w:cs="Arial"/>
              </w:rPr>
            </w:pPr>
          </w:p>
        </w:tc>
      </w:tr>
      <w:tr w:rsidR="00362FD7" w:rsidTr="00362FD7">
        <w:tc>
          <w:tcPr>
            <w:tcW w:w="9322" w:type="dxa"/>
            <w:gridSpan w:val="9"/>
            <w:tcBorders>
              <w:left w:val="nil"/>
              <w:right w:val="nil"/>
            </w:tcBorders>
          </w:tcPr>
          <w:p w:rsidR="00362FD7" w:rsidRPr="00F10F63" w:rsidRDefault="00362FD7" w:rsidP="00DC6768">
            <w:pPr>
              <w:rPr>
                <w:rFonts w:ascii="Arial" w:hAnsi="Arial" w:cs="Arial"/>
                <w:b/>
              </w:rPr>
            </w:pPr>
          </w:p>
        </w:tc>
      </w:tr>
      <w:tr w:rsidR="00362FD7" w:rsidTr="00362FD7">
        <w:tc>
          <w:tcPr>
            <w:tcW w:w="9322" w:type="dxa"/>
            <w:gridSpan w:val="9"/>
          </w:tcPr>
          <w:p w:rsidR="00362FD7" w:rsidRDefault="00362FD7" w:rsidP="00DC6768">
            <w:pPr>
              <w:rPr>
                <w:rFonts w:ascii="Arial" w:hAnsi="Arial" w:cs="Arial"/>
              </w:rPr>
            </w:pPr>
            <w:r w:rsidRPr="00F10F63">
              <w:rPr>
                <w:rFonts w:ascii="Arial" w:hAnsi="Arial" w:cs="Arial"/>
                <w:b/>
              </w:rPr>
              <w:t>Alignment to the Single Oversight Framework</w:t>
            </w:r>
          </w:p>
        </w:tc>
      </w:tr>
      <w:tr w:rsidR="00362FD7" w:rsidTr="00362FD7">
        <w:tc>
          <w:tcPr>
            <w:tcW w:w="2739" w:type="dxa"/>
            <w:gridSpan w:val="2"/>
          </w:tcPr>
          <w:p w:rsidR="00362FD7" w:rsidRPr="00507A6C" w:rsidRDefault="00362FD7" w:rsidP="00DC6768">
            <w:pPr>
              <w:rPr>
                <w:rFonts w:ascii="Arial" w:hAnsi="Arial" w:cs="Arial"/>
                <w:i/>
                <w:iCs/>
                <w:color w:val="000000"/>
                <w:szCs w:val="24"/>
              </w:rPr>
            </w:pPr>
            <w:r w:rsidRPr="00507A6C">
              <w:rPr>
                <w:rFonts w:ascii="Arial" w:hAnsi="Arial" w:cs="Arial"/>
                <w:szCs w:val="24"/>
              </w:rPr>
              <w:t>Leadership and Improvement Capability</w:t>
            </w:r>
          </w:p>
        </w:tc>
        <w:tc>
          <w:tcPr>
            <w:tcW w:w="382" w:type="dxa"/>
          </w:tcPr>
          <w:p w:rsidR="00362FD7" w:rsidRDefault="00362FD7" w:rsidP="00DC6768">
            <w:pPr>
              <w:rPr>
                <w:rFonts w:ascii="Arial" w:hAnsi="Arial" w:cs="Arial"/>
              </w:rPr>
            </w:pPr>
          </w:p>
        </w:tc>
        <w:tc>
          <w:tcPr>
            <w:tcW w:w="2699" w:type="dxa"/>
            <w:gridSpan w:val="2"/>
          </w:tcPr>
          <w:p w:rsidR="00362FD7" w:rsidRPr="00507A6C" w:rsidRDefault="00362FD7" w:rsidP="00DC6768">
            <w:pPr>
              <w:rPr>
                <w:rFonts w:ascii="Arial" w:hAnsi="Arial" w:cs="Arial"/>
                <w:i/>
                <w:iCs/>
                <w:color w:val="000000"/>
                <w:szCs w:val="24"/>
              </w:rPr>
            </w:pPr>
            <w:r w:rsidRPr="00507A6C">
              <w:rPr>
                <w:rFonts w:ascii="Arial" w:hAnsi="Arial" w:cs="Arial"/>
                <w:szCs w:val="24"/>
              </w:rPr>
              <w:t>Operational Performance</w:t>
            </w:r>
          </w:p>
        </w:tc>
        <w:tc>
          <w:tcPr>
            <w:tcW w:w="382" w:type="dxa"/>
          </w:tcPr>
          <w:p w:rsidR="00362FD7" w:rsidRDefault="00127961" w:rsidP="00DC6768">
            <w:pPr>
              <w:rPr>
                <w:rFonts w:ascii="Arial" w:hAnsi="Arial" w:cs="Arial"/>
              </w:rPr>
            </w:pPr>
            <w:r>
              <w:rPr>
                <w:rFonts w:ascii="Arial" w:hAnsi="Arial" w:cs="Arial"/>
                <w:b/>
                <w:bCs/>
                <w:lang w:eastAsia="en-PH"/>
              </w:rPr>
              <w:t>x</w:t>
            </w:r>
          </w:p>
        </w:tc>
        <w:tc>
          <w:tcPr>
            <w:tcW w:w="2738"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Quality of Care</w:t>
            </w:r>
          </w:p>
        </w:tc>
        <w:tc>
          <w:tcPr>
            <w:tcW w:w="382" w:type="dxa"/>
          </w:tcPr>
          <w:p w:rsidR="00362FD7" w:rsidRDefault="00127961" w:rsidP="00DC6768">
            <w:pPr>
              <w:rPr>
                <w:rFonts w:ascii="Arial" w:hAnsi="Arial" w:cs="Arial"/>
              </w:rPr>
            </w:pPr>
            <w:r>
              <w:rPr>
                <w:rFonts w:ascii="Arial" w:hAnsi="Arial" w:cs="Arial"/>
                <w:b/>
                <w:bCs/>
                <w:lang w:eastAsia="en-PH"/>
              </w:rPr>
              <w:t>x</w:t>
            </w:r>
          </w:p>
        </w:tc>
      </w:tr>
      <w:tr w:rsidR="00362FD7" w:rsidTr="00362FD7">
        <w:tc>
          <w:tcPr>
            <w:tcW w:w="2739"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Finance and use of resources</w:t>
            </w:r>
          </w:p>
        </w:tc>
        <w:tc>
          <w:tcPr>
            <w:tcW w:w="382" w:type="dxa"/>
          </w:tcPr>
          <w:p w:rsidR="00362FD7" w:rsidRDefault="00362FD7" w:rsidP="00DC6768">
            <w:pPr>
              <w:rPr>
                <w:rFonts w:ascii="Arial" w:hAnsi="Arial" w:cs="Arial"/>
              </w:rPr>
            </w:pPr>
          </w:p>
        </w:tc>
        <w:tc>
          <w:tcPr>
            <w:tcW w:w="2699"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Strategic Change</w:t>
            </w:r>
          </w:p>
        </w:tc>
        <w:tc>
          <w:tcPr>
            <w:tcW w:w="382" w:type="dxa"/>
          </w:tcPr>
          <w:p w:rsidR="00362FD7" w:rsidRDefault="00362FD7" w:rsidP="00DC6768">
            <w:pPr>
              <w:rPr>
                <w:rFonts w:ascii="Arial" w:hAnsi="Arial" w:cs="Arial"/>
              </w:rPr>
            </w:pPr>
          </w:p>
        </w:tc>
        <w:tc>
          <w:tcPr>
            <w:tcW w:w="2738" w:type="dxa"/>
            <w:gridSpan w:val="2"/>
          </w:tcPr>
          <w:p w:rsidR="00362FD7" w:rsidRPr="00507A6C" w:rsidRDefault="00362FD7" w:rsidP="00DC6768">
            <w:pPr>
              <w:rPr>
                <w:rFonts w:ascii="Arial" w:hAnsi="Arial" w:cs="Arial"/>
                <w:i/>
                <w:szCs w:val="24"/>
                <w:lang w:eastAsia="en-GB"/>
              </w:rPr>
            </w:pPr>
            <w:r w:rsidRPr="00507A6C">
              <w:rPr>
                <w:rFonts w:ascii="Arial" w:hAnsi="Arial" w:cs="Arial"/>
                <w:szCs w:val="24"/>
              </w:rPr>
              <w:t>Stakeholders</w:t>
            </w:r>
          </w:p>
        </w:tc>
        <w:tc>
          <w:tcPr>
            <w:tcW w:w="382" w:type="dxa"/>
          </w:tcPr>
          <w:p w:rsidR="00362FD7" w:rsidRDefault="00362FD7" w:rsidP="00DC6768">
            <w:pPr>
              <w:rPr>
                <w:rFonts w:ascii="Arial" w:hAnsi="Arial" w:cs="Arial"/>
              </w:rPr>
            </w:pPr>
          </w:p>
        </w:tc>
      </w:tr>
    </w:tbl>
    <w:tbl>
      <w:tblPr>
        <w:tblStyle w:val="TableGrid1"/>
        <w:tblW w:w="9322" w:type="dxa"/>
        <w:tblLook w:val="04A0" w:firstRow="1" w:lastRow="0" w:firstColumn="1" w:lastColumn="0" w:noHBand="0" w:noVBand="1"/>
      </w:tblPr>
      <w:tblGrid>
        <w:gridCol w:w="2217"/>
        <w:gridCol w:w="863"/>
        <w:gridCol w:w="2995"/>
        <w:gridCol w:w="3247"/>
      </w:tblGrid>
      <w:tr w:rsidR="00362FD7" w:rsidRPr="00840488" w:rsidTr="00362FD7">
        <w:tc>
          <w:tcPr>
            <w:tcW w:w="2217" w:type="dxa"/>
            <w:tcBorders>
              <w:left w:val="nil"/>
              <w:right w:val="nil"/>
            </w:tcBorders>
          </w:tcPr>
          <w:p w:rsidR="00362FD7" w:rsidRPr="00840488" w:rsidRDefault="00362FD7" w:rsidP="00DC6768">
            <w:pPr>
              <w:rPr>
                <w:rFonts w:ascii="Arial" w:hAnsi="Arial" w:cs="Arial"/>
              </w:rPr>
            </w:pPr>
          </w:p>
        </w:tc>
        <w:tc>
          <w:tcPr>
            <w:tcW w:w="7105" w:type="dxa"/>
            <w:gridSpan w:val="3"/>
            <w:tcBorders>
              <w:left w:val="nil"/>
              <w:right w:val="nil"/>
            </w:tcBorders>
          </w:tcPr>
          <w:p w:rsidR="00362FD7" w:rsidRPr="00840488" w:rsidRDefault="00362FD7" w:rsidP="00DC6768">
            <w:pPr>
              <w:rPr>
                <w:rFonts w:ascii="Arial" w:hAnsi="Arial" w:cs="Arial"/>
                <w:i/>
                <w:iCs/>
                <w:color w:val="000000"/>
              </w:rPr>
            </w:pPr>
          </w:p>
        </w:tc>
      </w:tr>
      <w:tr w:rsidR="00362FD7" w:rsidRPr="00840488" w:rsidTr="00143E19">
        <w:tc>
          <w:tcPr>
            <w:tcW w:w="9322" w:type="dxa"/>
            <w:gridSpan w:val="4"/>
            <w:shd w:val="clear" w:color="auto" w:fill="FBD4B4" w:themeFill="accent6" w:themeFillTint="66"/>
          </w:tcPr>
          <w:p w:rsidR="00362FD7" w:rsidRPr="00F10F63" w:rsidRDefault="00362FD7" w:rsidP="00DC6768">
            <w:pPr>
              <w:rPr>
                <w:rFonts w:ascii="Arial" w:hAnsi="Arial" w:cs="Arial"/>
                <w:b/>
                <w:i/>
                <w:iCs/>
                <w:color w:val="000000"/>
              </w:rPr>
            </w:pPr>
            <w:r w:rsidRPr="00F10F63">
              <w:rPr>
                <w:rFonts w:ascii="Arial" w:hAnsi="Arial" w:cs="Arial"/>
                <w:b/>
              </w:rPr>
              <w:t xml:space="preserve">Report previously reviewed by </w:t>
            </w:r>
          </w:p>
        </w:tc>
      </w:tr>
      <w:tr w:rsidR="00362FD7" w:rsidRPr="00840488" w:rsidTr="00362FD7">
        <w:tc>
          <w:tcPr>
            <w:tcW w:w="3080" w:type="dxa"/>
            <w:gridSpan w:val="2"/>
          </w:tcPr>
          <w:p w:rsidR="00362FD7" w:rsidRPr="00840488" w:rsidRDefault="00362FD7" w:rsidP="00DC6768">
            <w:pPr>
              <w:rPr>
                <w:rFonts w:ascii="Arial" w:hAnsi="Arial" w:cs="Arial"/>
              </w:rPr>
            </w:pPr>
            <w:r w:rsidRPr="00840488">
              <w:rPr>
                <w:rFonts w:ascii="Arial" w:hAnsi="Arial" w:cs="Arial"/>
              </w:rPr>
              <w:t>Committee/Group</w:t>
            </w:r>
          </w:p>
        </w:tc>
        <w:tc>
          <w:tcPr>
            <w:tcW w:w="2995" w:type="dxa"/>
          </w:tcPr>
          <w:p w:rsidR="00362FD7" w:rsidRPr="00840488" w:rsidRDefault="00362FD7" w:rsidP="00DC6768">
            <w:pPr>
              <w:rPr>
                <w:rFonts w:ascii="Arial" w:hAnsi="Arial" w:cs="Arial"/>
              </w:rPr>
            </w:pPr>
            <w:r w:rsidRPr="00840488">
              <w:rPr>
                <w:rFonts w:ascii="Arial" w:hAnsi="Arial" w:cs="Arial"/>
              </w:rPr>
              <w:t>Date</w:t>
            </w:r>
          </w:p>
        </w:tc>
        <w:tc>
          <w:tcPr>
            <w:tcW w:w="3247" w:type="dxa"/>
          </w:tcPr>
          <w:p w:rsidR="00362FD7" w:rsidRPr="00840488" w:rsidRDefault="00362FD7" w:rsidP="00DC6768">
            <w:pPr>
              <w:rPr>
                <w:rFonts w:ascii="Arial" w:hAnsi="Arial" w:cs="Arial"/>
              </w:rPr>
            </w:pPr>
            <w:r w:rsidRPr="00840488">
              <w:rPr>
                <w:rFonts w:ascii="Arial" w:hAnsi="Arial" w:cs="Arial"/>
              </w:rPr>
              <w:t>Outcome</w:t>
            </w:r>
          </w:p>
        </w:tc>
      </w:tr>
      <w:tr w:rsidR="00362FD7" w:rsidRPr="00840488" w:rsidTr="00362FD7">
        <w:tc>
          <w:tcPr>
            <w:tcW w:w="3080" w:type="dxa"/>
            <w:gridSpan w:val="2"/>
            <w:tcBorders>
              <w:bottom w:val="single" w:sz="4" w:space="0" w:color="auto"/>
            </w:tcBorders>
          </w:tcPr>
          <w:p w:rsidR="00362FD7" w:rsidRPr="00840488" w:rsidRDefault="00143E19" w:rsidP="00DC6768">
            <w:pPr>
              <w:rPr>
                <w:rFonts w:ascii="Arial" w:hAnsi="Arial" w:cs="Arial"/>
              </w:rPr>
            </w:pPr>
            <w:r>
              <w:rPr>
                <w:rFonts w:ascii="Arial" w:hAnsi="Arial" w:cs="Arial"/>
              </w:rPr>
              <w:t>P&amp;C</w:t>
            </w:r>
          </w:p>
        </w:tc>
        <w:tc>
          <w:tcPr>
            <w:tcW w:w="2995" w:type="dxa"/>
            <w:tcBorders>
              <w:bottom w:val="single" w:sz="4" w:space="0" w:color="auto"/>
            </w:tcBorders>
          </w:tcPr>
          <w:p w:rsidR="00362FD7" w:rsidRPr="00840488" w:rsidRDefault="00143E19" w:rsidP="00DC6768">
            <w:pPr>
              <w:rPr>
                <w:rFonts w:ascii="Arial" w:hAnsi="Arial" w:cs="Arial"/>
              </w:rPr>
            </w:pPr>
            <w:r>
              <w:rPr>
                <w:rFonts w:ascii="Arial" w:hAnsi="Arial" w:cs="Arial"/>
              </w:rPr>
              <w:t>4 September 2018</w:t>
            </w:r>
          </w:p>
        </w:tc>
        <w:tc>
          <w:tcPr>
            <w:tcW w:w="3247" w:type="dxa"/>
            <w:tcBorders>
              <w:bottom w:val="single" w:sz="4" w:space="0" w:color="auto"/>
            </w:tcBorders>
          </w:tcPr>
          <w:p w:rsidR="00362FD7" w:rsidRPr="00840488" w:rsidRDefault="00143E19" w:rsidP="00DC6768">
            <w:pPr>
              <w:rPr>
                <w:rFonts w:ascii="Arial" w:hAnsi="Arial" w:cs="Arial"/>
              </w:rPr>
            </w:pPr>
            <w:r>
              <w:rPr>
                <w:rFonts w:ascii="Arial" w:hAnsi="Arial" w:cs="Arial"/>
              </w:rPr>
              <w:t>Approved</w:t>
            </w:r>
          </w:p>
        </w:tc>
      </w:tr>
      <w:tr w:rsidR="00362FD7" w:rsidRPr="00840488" w:rsidTr="00362FD7">
        <w:tc>
          <w:tcPr>
            <w:tcW w:w="3080" w:type="dxa"/>
            <w:gridSpan w:val="2"/>
            <w:tcBorders>
              <w:left w:val="nil"/>
              <w:right w:val="nil"/>
            </w:tcBorders>
          </w:tcPr>
          <w:p w:rsidR="00362FD7" w:rsidRPr="00840488" w:rsidRDefault="00362FD7" w:rsidP="00DC6768">
            <w:pPr>
              <w:rPr>
                <w:rFonts w:ascii="Arial" w:hAnsi="Arial" w:cs="Arial"/>
              </w:rPr>
            </w:pPr>
          </w:p>
        </w:tc>
        <w:tc>
          <w:tcPr>
            <w:tcW w:w="2995" w:type="dxa"/>
            <w:tcBorders>
              <w:left w:val="nil"/>
              <w:right w:val="nil"/>
            </w:tcBorders>
          </w:tcPr>
          <w:p w:rsidR="00362FD7" w:rsidRPr="00840488" w:rsidRDefault="00362FD7" w:rsidP="00DC6768">
            <w:pPr>
              <w:rPr>
                <w:rFonts w:ascii="Arial" w:hAnsi="Arial" w:cs="Arial"/>
              </w:rPr>
            </w:pPr>
          </w:p>
        </w:tc>
        <w:tc>
          <w:tcPr>
            <w:tcW w:w="3247" w:type="dxa"/>
            <w:tcBorders>
              <w:left w:val="nil"/>
              <w:right w:val="nil"/>
            </w:tcBorders>
          </w:tcPr>
          <w:p w:rsidR="00362FD7" w:rsidRPr="00840488" w:rsidRDefault="00362FD7" w:rsidP="00DC6768">
            <w:pPr>
              <w:rPr>
                <w:rFonts w:ascii="Arial" w:hAnsi="Arial" w:cs="Arial"/>
              </w:rPr>
            </w:pPr>
          </w:p>
        </w:tc>
      </w:tr>
    </w:tbl>
    <w:tbl>
      <w:tblPr>
        <w:tblStyle w:val="TableGrid2"/>
        <w:tblW w:w="9322" w:type="dxa"/>
        <w:tblLook w:val="04A0" w:firstRow="1" w:lastRow="0" w:firstColumn="1" w:lastColumn="0" w:noHBand="0" w:noVBand="1"/>
      </w:tblPr>
      <w:tblGrid>
        <w:gridCol w:w="2216"/>
        <w:gridCol w:w="158"/>
        <w:gridCol w:w="518"/>
        <w:gridCol w:w="1608"/>
        <w:gridCol w:w="155"/>
        <w:gridCol w:w="359"/>
        <w:gridCol w:w="53"/>
        <w:gridCol w:w="710"/>
        <w:gridCol w:w="981"/>
        <w:gridCol w:w="436"/>
        <w:gridCol w:w="1134"/>
        <w:gridCol w:w="120"/>
        <w:gridCol w:w="303"/>
        <w:gridCol w:w="571"/>
      </w:tblGrid>
      <w:tr w:rsidR="00AC452A" w:rsidRPr="00840488" w:rsidTr="00127961">
        <w:tc>
          <w:tcPr>
            <w:tcW w:w="5067" w:type="dxa"/>
            <w:gridSpan w:val="7"/>
            <w:tcBorders>
              <w:bottom w:val="single" w:sz="4" w:space="0" w:color="auto"/>
            </w:tcBorders>
            <w:shd w:val="clear" w:color="auto" w:fill="FBD4B4" w:themeFill="accent6" w:themeFillTint="66"/>
          </w:tcPr>
          <w:p w:rsidR="00AC452A" w:rsidRPr="00840488" w:rsidRDefault="00AC452A" w:rsidP="00DC6768">
            <w:pPr>
              <w:rPr>
                <w:rFonts w:ascii="Arial" w:hAnsi="Arial" w:cs="Arial"/>
              </w:rPr>
            </w:pPr>
            <w:r w:rsidRPr="00F10F63">
              <w:rPr>
                <w:rFonts w:ascii="Arial" w:hAnsi="Arial" w:cs="Arial"/>
                <w:b/>
              </w:rPr>
              <w:t>Assurance</w:t>
            </w:r>
            <w:r w:rsidRPr="00840488">
              <w:rPr>
                <w:rFonts w:ascii="Arial" w:hAnsi="Arial" w:cs="Arial"/>
              </w:rPr>
              <w:t xml:space="preserve">: </w:t>
            </w:r>
            <w:r w:rsidRPr="00FF779E">
              <w:rPr>
                <w:rFonts w:ascii="Arial" w:hAnsi="Arial" w:cs="Arial"/>
                <w:i/>
              </w:rPr>
              <w:t>Does this report provide assurance in respect of the Board Assurance Framework strategic risks?</w:t>
            </w:r>
            <w:r w:rsidRPr="00840488">
              <w:rPr>
                <w:rFonts w:ascii="Arial" w:hAnsi="Arial" w:cs="Arial"/>
              </w:rPr>
              <w:t xml:space="preserve"> </w:t>
            </w:r>
          </w:p>
        </w:tc>
        <w:tc>
          <w:tcPr>
            <w:tcW w:w="710" w:type="dxa"/>
            <w:tcBorders>
              <w:bottom w:val="single" w:sz="4" w:space="0" w:color="auto"/>
            </w:tcBorders>
            <w:shd w:val="clear" w:color="auto" w:fill="auto"/>
          </w:tcPr>
          <w:p w:rsidR="00AC452A" w:rsidRPr="00840488" w:rsidRDefault="00E6298F" w:rsidP="00E6298F">
            <w:pPr>
              <w:rPr>
                <w:rFonts w:ascii="Arial" w:hAnsi="Arial" w:cs="Arial"/>
              </w:rPr>
            </w:pPr>
            <w:r>
              <w:rPr>
                <w:rFonts w:ascii="Arial" w:hAnsi="Arial" w:cs="Arial"/>
              </w:rPr>
              <w:t>Y</w:t>
            </w:r>
            <w:r w:rsidR="00AC452A">
              <w:rPr>
                <w:rFonts w:ascii="Arial" w:hAnsi="Arial" w:cs="Arial"/>
              </w:rPr>
              <w:t xml:space="preserve"> </w:t>
            </w:r>
          </w:p>
        </w:tc>
        <w:tc>
          <w:tcPr>
            <w:tcW w:w="2551" w:type="dxa"/>
            <w:gridSpan w:val="3"/>
            <w:tcBorders>
              <w:bottom w:val="single" w:sz="4" w:space="0" w:color="auto"/>
            </w:tcBorders>
            <w:shd w:val="clear" w:color="auto" w:fill="FBD4B4" w:themeFill="accent6" w:themeFillTint="66"/>
          </w:tcPr>
          <w:p w:rsidR="00AC452A" w:rsidRPr="00840488" w:rsidRDefault="00AC452A" w:rsidP="00DC6768">
            <w:pPr>
              <w:rPr>
                <w:rFonts w:ascii="Arial" w:hAnsi="Arial" w:cs="Arial"/>
              </w:rPr>
            </w:pPr>
            <w:r>
              <w:rPr>
                <w:rFonts w:ascii="Arial" w:hAnsi="Arial" w:cs="Arial"/>
              </w:rPr>
              <w:t>BAF number(s)</w:t>
            </w:r>
          </w:p>
        </w:tc>
        <w:tc>
          <w:tcPr>
            <w:tcW w:w="994" w:type="dxa"/>
            <w:gridSpan w:val="3"/>
            <w:tcBorders>
              <w:bottom w:val="single" w:sz="4" w:space="0" w:color="auto"/>
            </w:tcBorders>
            <w:shd w:val="clear" w:color="auto" w:fill="auto"/>
          </w:tcPr>
          <w:p w:rsidR="00AC452A" w:rsidRPr="00840488" w:rsidRDefault="00127961" w:rsidP="00127961">
            <w:pPr>
              <w:rPr>
                <w:rFonts w:ascii="Arial" w:hAnsi="Arial" w:cs="Arial"/>
              </w:rPr>
            </w:pPr>
            <w:r>
              <w:rPr>
                <w:rFonts w:ascii="Arial" w:hAnsi="Arial" w:cs="Arial"/>
              </w:rPr>
              <w:t>10,</w:t>
            </w:r>
            <w:r w:rsidR="00BE0FE5">
              <w:rPr>
                <w:rFonts w:ascii="Arial" w:hAnsi="Arial" w:cs="Arial"/>
              </w:rPr>
              <w:t>11</w:t>
            </w:r>
            <w:bookmarkStart w:id="0" w:name="_GoBack"/>
            <w:bookmarkEnd w:id="0"/>
          </w:p>
        </w:tc>
      </w:tr>
      <w:tr w:rsidR="00AC452A" w:rsidRPr="00840488" w:rsidTr="00127961">
        <w:tc>
          <w:tcPr>
            <w:tcW w:w="9322" w:type="dxa"/>
            <w:gridSpan w:val="14"/>
            <w:tcBorders>
              <w:left w:val="nil"/>
              <w:right w:val="nil"/>
            </w:tcBorders>
          </w:tcPr>
          <w:p w:rsidR="00AC452A" w:rsidRPr="00840488" w:rsidRDefault="00AC452A" w:rsidP="00DC6768">
            <w:pPr>
              <w:rPr>
                <w:rFonts w:ascii="Arial" w:hAnsi="Arial" w:cs="Arial"/>
              </w:rPr>
            </w:pPr>
          </w:p>
        </w:tc>
      </w:tr>
      <w:tr w:rsidR="00E6298F" w:rsidRPr="00840488" w:rsidTr="00E6298F">
        <w:tc>
          <w:tcPr>
            <w:tcW w:w="9322" w:type="dxa"/>
            <w:gridSpan w:val="14"/>
            <w:tcBorders>
              <w:bottom w:val="single" w:sz="4" w:space="0" w:color="auto"/>
            </w:tcBorders>
            <w:shd w:val="clear" w:color="auto" w:fill="auto"/>
          </w:tcPr>
          <w:p w:rsidR="00E6298F" w:rsidRPr="00840488" w:rsidRDefault="00E6298F" w:rsidP="00C63F03">
            <w:pPr>
              <w:spacing w:before="60" w:after="60"/>
              <w:rPr>
                <w:rFonts w:ascii="Arial" w:hAnsi="Arial" w:cs="Arial"/>
              </w:rPr>
            </w:pPr>
            <w:r>
              <w:rPr>
                <w:rFonts w:ascii="Arial" w:hAnsi="Arial" w:cs="Arial"/>
                <w:b/>
              </w:rPr>
              <w:t xml:space="preserve">Assurance </w:t>
            </w:r>
            <w:r>
              <w:rPr>
                <w:rFonts w:ascii="Arial" w:hAnsi="Arial" w:cs="Arial"/>
              </w:rPr>
              <w:t>in respect of: process/outcome/other (</w:t>
            </w:r>
            <w:r w:rsidRPr="008229A0">
              <w:rPr>
                <w:rFonts w:ascii="Arial" w:hAnsi="Arial" w:cs="Arial"/>
                <w:i/>
              </w:rPr>
              <w:t>please detail</w:t>
            </w:r>
            <w:r>
              <w:rPr>
                <w:rFonts w:ascii="Arial" w:hAnsi="Arial" w:cs="Arial"/>
              </w:rPr>
              <w:t>) ……………………….</w:t>
            </w:r>
          </w:p>
        </w:tc>
      </w:tr>
      <w:tr w:rsidR="00E6298F" w:rsidRPr="00840488" w:rsidTr="00E6298F">
        <w:trPr>
          <w:trHeight w:val="439"/>
        </w:trPr>
        <w:tc>
          <w:tcPr>
            <w:tcW w:w="2374" w:type="dxa"/>
            <w:gridSpan w:val="2"/>
            <w:tcBorders>
              <w:left w:val="single" w:sz="4" w:space="0" w:color="auto"/>
              <w:bottom w:val="nil"/>
              <w:right w:val="nil"/>
            </w:tcBorders>
          </w:tcPr>
          <w:p w:rsidR="00E6298F" w:rsidRPr="00840488" w:rsidRDefault="00E6298F" w:rsidP="00C63F03">
            <w:pPr>
              <w:rPr>
                <w:rFonts w:ascii="Arial" w:hAnsi="Arial" w:cs="Arial"/>
              </w:rPr>
            </w:pPr>
            <w:r>
              <w:rPr>
                <w:rFonts w:ascii="Arial" w:hAnsi="Arial" w:cs="Arial"/>
                <w:b/>
                <w:bCs/>
              </w:rPr>
              <w:t>Significant</w:t>
            </w:r>
            <w:r w:rsidRPr="0099348F">
              <w:rPr>
                <w:rFonts w:ascii="Arial" w:hAnsi="Arial" w:cs="Arial"/>
                <w:b/>
                <w:bCs/>
              </w:rPr>
              <w:t xml:space="preserve"> assurance</w:t>
            </w:r>
          </w:p>
        </w:tc>
        <w:sdt>
          <w:sdtPr>
            <w:rPr>
              <w:rFonts w:ascii="Arial" w:hAnsi="Arial" w:cs="Arial"/>
            </w:rPr>
            <w:id w:val="1311750462"/>
            <w14:checkbox>
              <w14:checked w14:val="0"/>
              <w14:checkedState w14:val="2612" w14:font="MS Gothic"/>
              <w14:uncheckedState w14:val="2610" w14:font="MS Gothic"/>
            </w14:checkbox>
          </w:sdtPr>
          <w:sdtEndPr/>
          <w:sdtContent>
            <w:tc>
              <w:tcPr>
                <w:tcW w:w="518" w:type="dxa"/>
                <w:tcBorders>
                  <w:top w:val="nil"/>
                  <w:left w:val="nil"/>
                  <w:bottom w:val="nil"/>
                  <w:right w:val="single" w:sz="4" w:space="0" w:color="auto"/>
                </w:tcBorders>
              </w:tcPr>
              <w:p w:rsidR="00E6298F" w:rsidRPr="0099348F" w:rsidRDefault="00E6298F" w:rsidP="00C63F03">
                <w:pPr>
                  <w:rPr>
                    <w:rFonts w:ascii="Arial" w:hAnsi="Arial" w:cs="Arial"/>
                  </w:rPr>
                </w:pPr>
                <w:r>
                  <w:rPr>
                    <w:rFonts w:ascii="MS Gothic" w:eastAsia="MS Gothic" w:hAnsi="MS Gothic" w:cs="Arial" w:hint="eastAsia"/>
                  </w:rPr>
                  <w:t>☐</w:t>
                </w:r>
              </w:p>
            </w:tc>
          </w:sdtContent>
        </w:sdt>
        <w:tc>
          <w:tcPr>
            <w:tcW w:w="1608" w:type="dxa"/>
            <w:tcBorders>
              <w:top w:val="nil"/>
              <w:left w:val="single" w:sz="4" w:space="0" w:color="auto"/>
              <w:bottom w:val="nil"/>
              <w:right w:val="nil"/>
            </w:tcBorders>
          </w:tcPr>
          <w:p w:rsidR="00E6298F" w:rsidRPr="00840488" w:rsidRDefault="00E6298F" w:rsidP="00C63F03">
            <w:pPr>
              <w:rPr>
                <w:rFonts w:ascii="Arial" w:hAnsi="Arial" w:cs="Arial"/>
              </w:rPr>
            </w:pPr>
            <w:r>
              <w:rPr>
                <w:rFonts w:ascii="Arial" w:hAnsi="Arial" w:cs="Arial"/>
                <w:b/>
                <w:bCs/>
              </w:rPr>
              <w:t>Moderate</w:t>
            </w:r>
            <w:r w:rsidRPr="0099348F">
              <w:rPr>
                <w:rFonts w:ascii="Arial" w:hAnsi="Arial" w:cs="Arial"/>
                <w:b/>
                <w:bCs/>
              </w:rPr>
              <w:t xml:space="preserve"> assurance </w:t>
            </w:r>
          </w:p>
        </w:tc>
        <w:sdt>
          <w:sdtPr>
            <w:rPr>
              <w:rFonts w:ascii="Arial" w:hAnsi="Arial" w:cs="Arial"/>
            </w:rPr>
            <w:id w:val="1884367071"/>
            <w14:checkbox>
              <w14:checked w14:val="0"/>
              <w14:checkedState w14:val="2612" w14:font="MS Gothic"/>
              <w14:uncheckedState w14:val="2610" w14:font="MS Gothic"/>
            </w14:checkbox>
          </w:sdtPr>
          <w:sdtEndPr/>
          <w:sdtContent>
            <w:tc>
              <w:tcPr>
                <w:tcW w:w="514" w:type="dxa"/>
                <w:gridSpan w:val="2"/>
                <w:tcBorders>
                  <w:left w:val="nil"/>
                  <w:bottom w:val="nil"/>
                  <w:right w:val="single" w:sz="4" w:space="0" w:color="auto"/>
                </w:tcBorders>
              </w:tcPr>
              <w:p w:rsidR="00E6298F" w:rsidRPr="0099348F" w:rsidRDefault="00E6298F" w:rsidP="00C63F03">
                <w:pPr>
                  <w:rPr>
                    <w:rFonts w:ascii="Arial" w:hAnsi="Arial" w:cs="Arial"/>
                  </w:rPr>
                </w:pPr>
                <w:r>
                  <w:rPr>
                    <w:rFonts w:ascii="MS Gothic" w:eastAsia="MS Gothic" w:hAnsi="MS Gothic" w:cs="Arial" w:hint="eastAsia"/>
                  </w:rPr>
                  <w:t>☐</w:t>
                </w:r>
              </w:p>
            </w:tc>
          </w:sdtContent>
        </w:sdt>
        <w:tc>
          <w:tcPr>
            <w:tcW w:w="1744" w:type="dxa"/>
            <w:gridSpan w:val="3"/>
            <w:tcBorders>
              <w:left w:val="single" w:sz="4" w:space="0" w:color="auto"/>
              <w:bottom w:val="nil"/>
              <w:right w:val="nil"/>
            </w:tcBorders>
          </w:tcPr>
          <w:p w:rsidR="00E6298F" w:rsidRPr="00840488" w:rsidRDefault="00E6298F" w:rsidP="00C63F03">
            <w:pPr>
              <w:rPr>
                <w:rFonts w:ascii="Arial" w:hAnsi="Arial" w:cs="Arial"/>
              </w:rPr>
            </w:pPr>
            <w:r>
              <w:rPr>
                <w:rFonts w:ascii="Arial" w:hAnsi="Arial" w:cs="Arial"/>
                <w:b/>
                <w:bCs/>
              </w:rPr>
              <w:t>Limited</w:t>
            </w:r>
            <w:r w:rsidRPr="0099348F">
              <w:rPr>
                <w:rFonts w:ascii="Arial" w:hAnsi="Arial" w:cs="Arial"/>
                <w:b/>
                <w:bCs/>
              </w:rPr>
              <w:t xml:space="preserve"> assurance</w:t>
            </w:r>
          </w:p>
        </w:tc>
        <w:sdt>
          <w:sdtPr>
            <w:rPr>
              <w:rFonts w:ascii="Arial" w:hAnsi="Arial" w:cs="Arial"/>
            </w:rPr>
            <w:id w:val="345363761"/>
            <w14:checkbox>
              <w14:checked w14:val="1"/>
              <w14:checkedState w14:val="2612" w14:font="MS Gothic"/>
              <w14:uncheckedState w14:val="2610" w14:font="MS Gothic"/>
            </w14:checkbox>
          </w:sdtPr>
          <w:sdtEndPr/>
          <w:sdtContent>
            <w:tc>
              <w:tcPr>
                <w:tcW w:w="436" w:type="dxa"/>
                <w:tcBorders>
                  <w:left w:val="nil"/>
                  <w:bottom w:val="nil"/>
                  <w:right w:val="single" w:sz="4" w:space="0" w:color="auto"/>
                </w:tcBorders>
              </w:tcPr>
              <w:p w:rsidR="00E6298F" w:rsidRPr="0099348F" w:rsidRDefault="00E6298F" w:rsidP="00C63F03">
                <w:pPr>
                  <w:rPr>
                    <w:rFonts w:ascii="Arial" w:hAnsi="Arial" w:cs="Arial"/>
                  </w:rPr>
                </w:pPr>
                <w:r>
                  <w:rPr>
                    <w:rFonts w:ascii="MS Gothic" w:eastAsia="MS Gothic" w:hAnsi="MS Gothic" w:cs="Arial" w:hint="eastAsia"/>
                  </w:rPr>
                  <w:t>☒</w:t>
                </w:r>
              </w:p>
            </w:tc>
          </w:sdtContent>
        </w:sdt>
        <w:tc>
          <w:tcPr>
            <w:tcW w:w="1557" w:type="dxa"/>
            <w:gridSpan w:val="3"/>
            <w:tcBorders>
              <w:left w:val="single" w:sz="4" w:space="0" w:color="auto"/>
              <w:bottom w:val="nil"/>
              <w:right w:val="nil"/>
            </w:tcBorders>
          </w:tcPr>
          <w:p w:rsidR="00E6298F" w:rsidRPr="00840488" w:rsidRDefault="00E6298F" w:rsidP="00C63F03">
            <w:pPr>
              <w:rPr>
                <w:rFonts w:ascii="Arial" w:hAnsi="Arial" w:cs="Arial"/>
              </w:rPr>
            </w:pPr>
            <w:r w:rsidRPr="0099348F">
              <w:rPr>
                <w:rFonts w:ascii="Arial" w:hAnsi="Arial" w:cs="Arial"/>
                <w:b/>
                <w:bCs/>
              </w:rPr>
              <w:t>No assurance</w:t>
            </w:r>
          </w:p>
        </w:tc>
        <w:sdt>
          <w:sdtPr>
            <w:rPr>
              <w:rFonts w:ascii="Arial" w:hAnsi="Arial" w:cs="Arial"/>
            </w:rPr>
            <w:id w:val="1422830370"/>
            <w14:checkbox>
              <w14:checked w14:val="0"/>
              <w14:checkedState w14:val="2612" w14:font="MS Gothic"/>
              <w14:uncheckedState w14:val="2610" w14:font="MS Gothic"/>
            </w14:checkbox>
          </w:sdtPr>
          <w:sdtEndPr/>
          <w:sdtContent>
            <w:tc>
              <w:tcPr>
                <w:tcW w:w="571" w:type="dxa"/>
                <w:tcBorders>
                  <w:left w:val="nil"/>
                  <w:bottom w:val="nil"/>
                  <w:right w:val="single" w:sz="4" w:space="0" w:color="auto"/>
                </w:tcBorders>
              </w:tcPr>
              <w:p w:rsidR="00E6298F" w:rsidRPr="0099348F" w:rsidRDefault="00E6298F" w:rsidP="00C63F03">
                <w:pPr>
                  <w:rPr>
                    <w:rFonts w:ascii="Arial" w:hAnsi="Arial" w:cs="Arial"/>
                  </w:rPr>
                </w:pPr>
                <w:r>
                  <w:rPr>
                    <w:rFonts w:ascii="MS Gothic" w:eastAsia="MS Gothic" w:hAnsi="MS Gothic" w:cs="Arial" w:hint="eastAsia"/>
                  </w:rPr>
                  <w:t>☐</w:t>
                </w:r>
              </w:p>
            </w:tc>
          </w:sdtContent>
        </w:sdt>
      </w:tr>
      <w:tr w:rsidR="00E6298F" w:rsidRPr="00840488" w:rsidTr="00E6298F">
        <w:trPr>
          <w:trHeight w:val="751"/>
        </w:trPr>
        <w:tc>
          <w:tcPr>
            <w:tcW w:w="2892" w:type="dxa"/>
            <w:gridSpan w:val="3"/>
            <w:tcBorders>
              <w:top w:val="nil"/>
              <w:left w:val="single" w:sz="4" w:space="0" w:color="auto"/>
              <w:right w:val="single" w:sz="4" w:space="0" w:color="auto"/>
            </w:tcBorders>
          </w:tcPr>
          <w:p w:rsidR="00E6298F" w:rsidRPr="0099348F" w:rsidRDefault="00E6298F" w:rsidP="00C63F03">
            <w:pPr>
              <w:rPr>
                <w:rFonts w:ascii="Arial" w:hAnsi="Arial" w:cs="Arial"/>
                <w:i/>
                <w:sz w:val="18"/>
              </w:rPr>
            </w:pPr>
            <w:r w:rsidRPr="0099348F">
              <w:rPr>
                <w:rFonts w:ascii="Arial" w:hAnsi="Arial" w:cs="Arial"/>
                <w:i/>
                <w:sz w:val="18"/>
              </w:rPr>
              <w:t>High level of confidence in delivery of existing mechanisms/objectives</w:t>
            </w:r>
          </w:p>
          <w:p w:rsidR="00E6298F" w:rsidRDefault="00E6298F" w:rsidP="00C63F03">
            <w:pPr>
              <w:rPr>
                <w:rFonts w:ascii="Arial" w:hAnsi="Arial" w:cs="Arial"/>
              </w:rPr>
            </w:pPr>
          </w:p>
        </w:tc>
        <w:tc>
          <w:tcPr>
            <w:tcW w:w="2122" w:type="dxa"/>
            <w:gridSpan w:val="3"/>
            <w:tcBorders>
              <w:top w:val="nil"/>
              <w:left w:val="single" w:sz="4" w:space="0" w:color="auto"/>
              <w:bottom w:val="single" w:sz="4" w:space="0" w:color="auto"/>
              <w:right w:val="single" w:sz="4" w:space="0" w:color="auto"/>
            </w:tcBorders>
          </w:tcPr>
          <w:p w:rsidR="00E6298F" w:rsidRDefault="00E6298F" w:rsidP="00C63F03">
            <w:pPr>
              <w:rPr>
                <w:rFonts w:ascii="Arial" w:hAnsi="Arial" w:cs="Arial"/>
              </w:rPr>
            </w:pPr>
            <w:r w:rsidRPr="0099348F">
              <w:rPr>
                <w:rFonts w:ascii="Arial" w:hAnsi="Arial" w:cs="Arial"/>
                <w:i/>
                <w:sz w:val="18"/>
              </w:rPr>
              <w:t>General confidence in delivery of existing mechanisms /objectives</w:t>
            </w:r>
          </w:p>
        </w:tc>
        <w:tc>
          <w:tcPr>
            <w:tcW w:w="2180" w:type="dxa"/>
            <w:gridSpan w:val="4"/>
            <w:tcBorders>
              <w:top w:val="nil"/>
              <w:left w:val="single" w:sz="4" w:space="0" w:color="auto"/>
              <w:right w:val="single" w:sz="4" w:space="0" w:color="auto"/>
            </w:tcBorders>
          </w:tcPr>
          <w:p w:rsidR="00E6298F" w:rsidRDefault="00E6298F" w:rsidP="00C63F03">
            <w:pPr>
              <w:rPr>
                <w:rFonts w:ascii="Arial" w:hAnsi="Arial" w:cs="Arial"/>
              </w:rPr>
            </w:pPr>
            <w:r w:rsidRPr="0099348F">
              <w:rPr>
                <w:rFonts w:ascii="Arial" w:hAnsi="Arial" w:cs="Arial"/>
                <w:i/>
                <w:sz w:val="18"/>
              </w:rPr>
              <w:t>Some confidence in delivery of existing mechanisms /objectives</w:t>
            </w:r>
          </w:p>
        </w:tc>
        <w:tc>
          <w:tcPr>
            <w:tcW w:w="2128" w:type="dxa"/>
            <w:gridSpan w:val="4"/>
            <w:tcBorders>
              <w:top w:val="nil"/>
              <w:left w:val="single" w:sz="4" w:space="0" w:color="auto"/>
              <w:right w:val="single" w:sz="4" w:space="0" w:color="auto"/>
            </w:tcBorders>
          </w:tcPr>
          <w:p w:rsidR="00E6298F" w:rsidRPr="0099348F" w:rsidRDefault="00E6298F" w:rsidP="00C63F03">
            <w:pPr>
              <w:rPr>
                <w:rFonts w:ascii="Arial" w:hAnsi="Arial" w:cs="Arial"/>
                <w:i/>
                <w:sz w:val="18"/>
              </w:rPr>
            </w:pPr>
            <w:r w:rsidRPr="0099348F">
              <w:rPr>
                <w:rFonts w:ascii="Arial" w:hAnsi="Arial" w:cs="Arial"/>
                <w:i/>
                <w:sz w:val="18"/>
              </w:rPr>
              <w:t>No confidence in delivery</w:t>
            </w:r>
          </w:p>
          <w:p w:rsidR="00E6298F" w:rsidRDefault="00E6298F" w:rsidP="00C63F03">
            <w:pPr>
              <w:rPr>
                <w:rFonts w:ascii="Arial" w:hAnsi="Arial" w:cs="Arial"/>
              </w:rPr>
            </w:pPr>
          </w:p>
        </w:tc>
      </w:tr>
      <w:tr w:rsidR="00AC452A" w:rsidRPr="00840488" w:rsidTr="00127961">
        <w:tc>
          <w:tcPr>
            <w:tcW w:w="2216" w:type="dxa"/>
            <w:tcBorders>
              <w:top w:val="nil"/>
              <w:left w:val="nil"/>
              <w:bottom w:val="single" w:sz="4" w:space="0" w:color="auto"/>
              <w:right w:val="nil"/>
            </w:tcBorders>
          </w:tcPr>
          <w:p w:rsidR="00AC452A" w:rsidRPr="00840488" w:rsidRDefault="00AC452A" w:rsidP="00DC6768">
            <w:pPr>
              <w:rPr>
                <w:rFonts w:ascii="Arial" w:hAnsi="Arial" w:cs="Arial"/>
              </w:rPr>
            </w:pPr>
          </w:p>
        </w:tc>
        <w:tc>
          <w:tcPr>
            <w:tcW w:w="2439" w:type="dxa"/>
            <w:gridSpan w:val="4"/>
            <w:tcBorders>
              <w:top w:val="nil"/>
              <w:left w:val="nil"/>
              <w:bottom w:val="single" w:sz="4" w:space="0" w:color="auto"/>
              <w:right w:val="nil"/>
            </w:tcBorders>
          </w:tcPr>
          <w:p w:rsidR="00AC452A" w:rsidRPr="00840488" w:rsidRDefault="00AC452A" w:rsidP="00DC6768">
            <w:pPr>
              <w:rPr>
                <w:rFonts w:ascii="Arial" w:hAnsi="Arial" w:cs="Arial"/>
                <w:b/>
              </w:rPr>
            </w:pPr>
          </w:p>
        </w:tc>
        <w:tc>
          <w:tcPr>
            <w:tcW w:w="412" w:type="dxa"/>
            <w:gridSpan w:val="2"/>
            <w:tcBorders>
              <w:top w:val="nil"/>
              <w:left w:val="nil"/>
              <w:bottom w:val="single" w:sz="4" w:space="0" w:color="auto"/>
              <w:right w:val="nil"/>
            </w:tcBorders>
          </w:tcPr>
          <w:p w:rsidR="00AC452A" w:rsidRPr="00840488" w:rsidRDefault="00AC452A" w:rsidP="00DC6768">
            <w:pPr>
              <w:rPr>
                <w:rFonts w:ascii="Arial" w:hAnsi="Arial" w:cs="Arial"/>
                <w:i/>
                <w:iCs/>
                <w:color w:val="000000"/>
              </w:rPr>
            </w:pPr>
          </w:p>
        </w:tc>
        <w:tc>
          <w:tcPr>
            <w:tcW w:w="3381" w:type="dxa"/>
            <w:gridSpan w:val="5"/>
            <w:tcBorders>
              <w:top w:val="nil"/>
              <w:left w:val="nil"/>
              <w:bottom w:val="single" w:sz="4" w:space="0" w:color="auto"/>
              <w:right w:val="nil"/>
            </w:tcBorders>
          </w:tcPr>
          <w:p w:rsidR="00AC452A" w:rsidRPr="00840488" w:rsidRDefault="00AC452A" w:rsidP="00DC6768">
            <w:pPr>
              <w:rPr>
                <w:rFonts w:ascii="Arial" w:hAnsi="Arial" w:cs="Arial"/>
                <w:b/>
                <w:lang w:eastAsia="en-GB"/>
              </w:rPr>
            </w:pPr>
          </w:p>
        </w:tc>
        <w:tc>
          <w:tcPr>
            <w:tcW w:w="874" w:type="dxa"/>
            <w:gridSpan w:val="2"/>
            <w:tcBorders>
              <w:top w:val="nil"/>
              <w:left w:val="nil"/>
              <w:bottom w:val="single" w:sz="4" w:space="0" w:color="auto"/>
              <w:right w:val="nil"/>
            </w:tcBorders>
          </w:tcPr>
          <w:p w:rsidR="00AC452A" w:rsidRPr="00840488" w:rsidRDefault="00AC452A" w:rsidP="00DC6768">
            <w:pPr>
              <w:rPr>
                <w:rFonts w:ascii="Arial" w:hAnsi="Arial" w:cs="Arial"/>
                <w:i/>
                <w:iCs/>
                <w:color w:val="000000"/>
              </w:rPr>
            </w:pPr>
          </w:p>
        </w:tc>
      </w:tr>
      <w:tr w:rsidR="00D36CFA" w:rsidRPr="00840488" w:rsidTr="00127961">
        <w:tc>
          <w:tcPr>
            <w:tcW w:w="2216" w:type="dxa"/>
            <w:tcBorders>
              <w:top w:val="single" w:sz="4" w:space="0" w:color="auto"/>
            </w:tcBorders>
            <w:shd w:val="clear" w:color="auto" w:fill="FBD4B4" w:themeFill="accent6" w:themeFillTint="66"/>
          </w:tcPr>
          <w:p w:rsidR="00D36CFA" w:rsidRPr="00840488" w:rsidRDefault="00D36CFA" w:rsidP="00DC6768">
            <w:pPr>
              <w:rPr>
                <w:rFonts w:ascii="Arial" w:hAnsi="Arial" w:cs="Arial"/>
              </w:rPr>
            </w:pPr>
            <w:r w:rsidRPr="00840488">
              <w:rPr>
                <w:rFonts w:ascii="Arial" w:hAnsi="Arial" w:cs="Arial"/>
              </w:rPr>
              <w:t>Recommendations</w:t>
            </w:r>
          </w:p>
        </w:tc>
        <w:tc>
          <w:tcPr>
            <w:tcW w:w="7106" w:type="dxa"/>
            <w:gridSpan w:val="13"/>
            <w:tcBorders>
              <w:top w:val="single" w:sz="4" w:space="0" w:color="auto"/>
            </w:tcBorders>
            <w:shd w:val="clear" w:color="auto" w:fill="FBD4B4" w:themeFill="accent6" w:themeFillTint="66"/>
          </w:tcPr>
          <w:p w:rsidR="00143E19" w:rsidRPr="004D250D" w:rsidRDefault="00DA20F8" w:rsidP="00143E19">
            <w:pPr>
              <w:rPr>
                <w:rFonts w:ascii="Arial" w:hAnsi="Arial" w:cs="Arial"/>
                <w:iCs/>
              </w:rPr>
            </w:pPr>
            <w:r w:rsidRPr="004D250D">
              <w:rPr>
                <w:rFonts w:ascii="Arial" w:hAnsi="Arial" w:cs="Arial"/>
                <w:iCs/>
              </w:rPr>
              <w:t xml:space="preserve">The </w:t>
            </w:r>
            <w:r w:rsidR="00143E19">
              <w:rPr>
                <w:rFonts w:ascii="Arial" w:hAnsi="Arial" w:cs="Arial"/>
                <w:iCs/>
              </w:rPr>
              <w:t>Board</w:t>
            </w:r>
            <w:r w:rsidR="002B1236">
              <w:rPr>
                <w:rFonts w:ascii="Arial" w:hAnsi="Arial" w:cs="Arial"/>
                <w:iCs/>
              </w:rPr>
              <w:t xml:space="preserve"> </w:t>
            </w:r>
            <w:r w:rsidRPr="004D250D">
              <w:rPr>
                <w:rFonts w:ascii="Arial" w:hAnsi="Arial" w:cs="Arial"/>
                <w:iCs/>
              </w:rPr>
              <w:t>is requested to</w:t>
            </w:r>
            <w:r w:rsidR="00143E19">
              <w:rPr>
                <w:rFonts w:ascii="Arial" w:hAnsi="Arial" w:cs="Arial"/>
                <w:iCs/>
              </w:rPr>
              <w:t xml:space="preserve"> note this report for assurance. </w:t>
            </w:r>
          </w:p>
          <w:p w:rsidR="006A24E7" w:rsidRPr="004D250D" w:rsidRDefault="006A24E7" w:rsidP="00146783">
            <w:pPr>
              <w:rPr>
                <w:rFonts w:ascii="Arial" w:hAnsi="Arial" w:cs="Arial"/>
                <w:iCs/>
              </w:rPr>
            </w:pPr>
          </w:p>
          <w:p w:rsidR="00174F2E" w:rsidRPr="00AC452A" w:rsidRDefault="00174F2E" w:rsidP="004D250D">
            <w:pPr>
              <w:spacing w:before="200"/>
              <w:contextualSpacing/>
              <w:jc w:val="both"/>
              <w:rPr>
                <w:rFonts w:ascii="Arial" w:hAnsi="Arial" w:cs="Arial"/>
                <w:iCs/>
                <w:color w:val="000000"/>
              </w:rPr>
            </w:pPr>
          </w:p>
        </w:tc>
      </w:tr>
    </w:tbl>
    <w:p w:rsidR="00143E19" w:rsidRDefault="00143E19">
      <w:r>
        <w:br w:type="page"/>
      </w:r>
    </w:p>
    <w:tbl>
      <w:tblPr>
        <w:tblStyle w:val="TableGrid"/>
        <w:tblW w:w="10916" w:type="dxa"/>
        <w:tblInd w:w="-743" w:type="dxa"/>
        <w:tblLayout w:type="fixed"/>
        <w:tblLook w:val="04A0" w:firstRow="1" w:lastRow="0" w:firstColumn="1" w:lastColumn="0" w:noHBand="0" w:noVBand="1"/>
      </w:tblPr>
      <w:tblGrid>
        <w:gridCol w:w="10916"/>
      </w:tblGrid>
      <w:tr w:rsidR="00AC452A" w:rsidTr="00143E19">
        <w:tc>
          <w:tcPr>
            <w:tcW w:w="10916" w:type="dxa"/>
            <w:shd w:val="clear" w:color="auto" w:fill="FBD4B4" w:themeFill="accent6" w:themeFillTint="66"/>
          </w:tcPr>
          <w:p w:rsidR="00AC452A" w:rsidRDefault="00AC452A" w:rsidP="00362FD7">
            <w:pPr>
              <w:rPr>
                <w:rFonts w:ascii="Arial" w:hAnsi="Arial" w:cs="Arial"/>
              </w:rPr>
            </w:pPr>
            <w:r>
              <w:rPr>
                <w:rFonts w:ascii="Arial" w:hAnsi="Arial" w:cs="Arial"/>
              </w:rPr>
              <w:lastRenderedPageBreak/>
              <w:t>Executive Summary</w:t>
            </w:r>
          </w:p>
        </w:tc>
      </w:tr>
      <w:tr w:rsidR="00AC452A" w:rsidTr="00186B5A">
        <w:tc>
          <w:tcPr>
            <w:tcW w:w="10916" w:type="dxa"/>
          </w:tcPr>
          <w:p w:rsidR="00F9349B" w:rsidRPr="004D250D" w:rsidRDefault="00DA20F8" w:rsidP="00E6298F">
            <w:pPr>
              <w:pStyle w:val="ListParagraph"/>
              <w:spacing w:before="0"/>
              <w:ind w:left="0"/>
            </w:pPr>
            <w:r w:rsidRPr="004D250D">
              <w:t>This paper provides an account of nursing and midwifery staffing levels on inpatient ward areas for</w:t>
            </w:r>
            <w:r w:rsidR="001E0E76" w:rsidRPr="004D250D">
              <w:t xml:space="preserve"> the months of</w:t>
            </w:r>
            <w:r w:rsidRPr="004D250D">
              <w:t xml:space="preserve"> </w:t>
            </w:r>
            <w:r w:rsidR="004D250D" w:rsidRPr="004D250D">
              <w:t xml:space="preserve">June and July </w:t>
            </w:r>
            <w:r w:rsidRPr="004D250D">
              <w:t>2</w:t>
            </w:r>
            <w:r w:rsidR="001E0E76" w:rsidRPr="004D250D">
              <w:t>018</w:t>
            </w:r>
            <w:r w:rsidR="00906448" w:rsidRPr="004D250D">
              <w:t>.  This includes</w:t>
            </w:r>
            <w:r w:rsidRPr="004D250D">
              <w:t xml:space="preserve"> </w:t>
            </w:r>
            <w:r w:rsidR="008E5961" w:rsidRPr="004D250D">
              <w:t>data on the</w:t>
            </w:r>
            <w:r w:rsidRPr="004D250D">
              <w:t xml:space="preserve"> average fill rate per ward and the c</w:t>
            </w:r>
            <w:r w:rsidR="001E0E76" w:rsidRPr="004D250D">
              <w:t>are hours per patient per day</w:t>
            </w:r>
            <w:r w:rsidR="008E5961" w:rsidRPr="004D250D">
              <w:t xml:space="preserve"> as recorded by ward staff</w:t>
            </w:r>
            <w:r w:rsidR="001E0E76" w:rsidRPr="004D250D">
              <w:t xml:space="preserve">. </w:t>
            </w:r>
            <w:r w:rsidRPr="004D250D">
              <w:t xml:space="preserve">This data </w:t>
            </w:r>
            <w:r w:rsidR="00EB6377" w:rsidRPr="004D250D">
              <w:t>was triangulated</w:t>
            </w:r>
            <w:r w:rsidR="001E0E76" w:rsidRPr="004D250D">
              <w:t xml:space="preserve"> with incident reports </w:t>
            </w:r>
            <w:r w:rsidR="00452237" w:rsidRPr="004D250D">
              <w:t>from</w:t>
            </w:r>
            <w:r w:rsidRPr="004D250D">
              <w:t xml:space="preserve"> staff </w:t>
            </w:r>
            <w:r w:rsidR="00D2138D" w:rsidRPr="004D250D">
              <w:t xml:space="preserve">where </w:t>
            </w:r>
            <w:r w:rsidR="00F9349B" w:rsidRPr="004D250D">
              <w:t>they</w:t>
            </w:r>
            <w:r w:rsidR="008E5961" w:rsidRPr="004D250D">
              <w:t xml:space="preserve"> believed there </w:t>
            </w:r>
            <w:r w:rsidR="00F9349B" w:rsidRPr="004D250D">
              <w:t>may have been a</w:t>
            </w:r>
            <w:r w:rsidR="008E5961" w:rsidRPr="004D250D">
              <w:t xml:space="preserve"> potential </w:t>
            </w:r>
            <w:r w:rsidR="00F9349B" w:rsidRPr="004D250D">
              <w:t xml:space="preserve">impact on patient care as a consequence </w:t>
            </w:r>
            <w:r w:rsidR="0080567B">
              <w:t xml:space="preserve">to </w:t>
            </w:r>
            <w:r w:rsidR="00F9349B" w:rsidRPr="004D250D">
              <w:t xml:space="preserve">a reduction in </w:t>
            </w:r>
            <w:r w:rsidR="00BA5D06" w:rsidRPr="004D250D">
              <w:t xml:space="preserve">the </w:t>
            </w:r>
            <w:r w:rsidR="0080567B">
              <w:t>number of staff</w:t>
            </w:r>
            <w:r w:rsidR="00F9349B" w:rsidRPr="004D250D">
              <w:t xml:space="preserve"> on shifts </w:t>
            </w:r>
            <w:r w:rsidR="0080567B">
              <w:t>to that which was planned</w:t>
            </w:r>
            <w:r w:rsidR="00BA5D06" w:rsidRPr="004D250D">
              <w:t>.</w:t>
            </w:r>
          </w:p>
          <w:p w:rsidR="00F9349B" w:rsidRPr="003C7883" w:rsidRDefault="00F9349B" w:rsidP="00F9349B">
            <w:pPr>
              <w:pStyle w:val="ListParagraph"/>
              <w:rPr>
                <w:color w:val="FF0000"/>
              </w:rPr>
            </w:pPr>
          </w:p>
          <w:p w:rsidR="00E6298F" w:rsidRDefault="00D2138D" w:rsidP="00E6298F">
            <w:pPr>
              <w:pStyle w:val="ListParagraph"/>
              <w:numPr>
                <w:ilvl w:val="0"/>
                <w:numId w:val="1"/>
              </w:numPr>
            </w:pPr>
            <w:r w:rsidRPr="004D250D">
              <w:t xml:space="preserve">The </w:t>
            </w:r>
            <w:r w:rsidR="0027562A" w:rsidRPr="004D250D">
              <w:t xml:space="preserve">completion of the safer staffing app by wards </w:t>
            </w:r>
            <w:r w:rsidR="0080567B">
              <w:t xml:space="preserve">(actual against planned) </w:t>
            </w:r>
            <w:r w:rsidR="0027562A" w:rsidRPr="004D250D">
              <w:t>on the roster and the acuity and dependency of patients cared for</w:t>
            </w:r>
            <w:r w:rsidR="0080567B">
              <w:t>, provides</w:t>
            </w:r>
            <w:r w:rsidR="0027562A" w:rsidRPr="004D250D">
              <w:t xml:space="preserve"> the unified data for submission to NHSI</w:t>
            </w:r>
            <w:r w:rsidR="00F9349B" w:rsidRPr="004D250D">
              <w:t xml:space="preserve"> (Appendix 1)</w:t>
            </w:r>
            <w:r w:rsidR="0027562A" w:rsidRPr="004D250D">
              <w:t xml:space="preserve">. </w:t>
            </w:r>
            <w:r w:rsidR="006B48EC" w:rsidRPr="004D250D">
              <w:t xml:space="preserve"> </w:t>
            </w:r>
            <w:r w:rsidR="008E5961" w:rsidRPr="004D250D">
              <w:t xml:space="preserve">Data for </w:t>
            </w:r>
            <w:r w:rsidR="004D250D" w:rsidRPr="004D250D">
              <w:t xml:space="preserve">June and July </w:t>
            </w:r>
            <w:r w:rsidR="008E5961" w:rsidRPr="004D250D">
              <w:t xml:space="preserve">identifies that </w:t>
            </w:r>
            <w:r w:rsidR="00F55D0C" w:rsidRPr="004D250D">
              <w:t>trust wide</w:t>
            </w:r>
            <w:r w:rsidR="008E5961" w:rsidRPr="004D250D">
              <w:t xml:space="preserve"> the fill rate for staffing </w:t>
            </w:r>
            <w:r w:rsidR="00BA5D06" w:rsidRPr="004D250D">
              <w:t>was</w:t>
            </w:r>
            <w:r w:rsidR="004D250D" w:rsidRPr="004D250D">
              <w:t xml:space="preserve"> </w:t>
            </w:r>
            <w:r w:rsidR="002B1236">
              <w:t>greater than 75% of planned</w:t>
            </w:r>
            <w:r w:rsidR="0080567B">
              <w:t xml:space="preserve"> shifts and that gap</w:t>
            </w:r>
            <w:r w:rsidR="002B1236">
              <w:t xml:space="preserve"> from vacancies, sickness</w:t>
            </w:r>
            <w:r w:rsidR="004D250D" w:rsidRPr="004D250D">
              <w:t xml:space="preserve"> </w:t>
            </w:r>
            <w:r w:rsidR="002B1236">
              <w:t>and at times of increased patient demand/acuity was assessed and mitigations put into place through the use of temporary staffing</w:t>
            </w:r>
          </w:p>
          <w:p w:rsidR="0080567B" w:rsidRDefault="00800172" w:rsidP="00E6298F">
            <w:pPr>
              <w:pStyle w:val="ListParagraph"/>
              <w:numPr>
                <w:ilvl w:val="0"/>
                <w:numId w:val="1"/>
              </w:numPr>
            </w:pPr>
            <w:r w:rsidRPr="004D250D">
              <w:t>The</w:t>
            </w:r>
            <w:r w:rsidR="00452237" w:rsidRPr="004D250D">
              <w:t>re are</w:t>
            </w:r>
            <w:r w:rsidRPr="004D250D">
              <w:t xml:space="preserve"> </w:t>
            </w:r>
            <w:r w:rsidR="0080567B">
              <w:t xml:space="preserve">a number of </w:t>
            </w:r>
            <w:r w:rsidRPr="004D250D">
              <w:t xml:space="preserve">key work streams </w:t>
            </w:r>
            <w:r w:rsidR="00452237" w:rsidRPr="004D250D">
              <w:t>which</w:t>
            </w:r>
            <w:r w:rsidRPr="004D250D">
              <w:t xml:space="preserve"> support the nursing and midwifery workforce</w:t>
            </w:r>
            <w:r w:rsidR="0080567B">
              <w:t xml:space="preserve"> to ensure</w:t>
            </w:r>
            <w:r w:rsidRPr="004D250D">
              <w:t xml:space="preserve"> recruitment, retention and education </w:t>
            </w:r>
            <w:r w:rsidR="0080567B">
              <w:t xml:space="preserve">plans are robust in order </w:t>
            </w:r>
            <w:r w:rsidRPr="004D250D">
              <w:t xml:space="preserve">to meet </w:t>
            </w:r>
            <w:r w:rsidR="00F9349B" w:rsidRPr="004D250D">
              <w:t>patient</w:t>
            </w:r>
            <w:r w:rsidRPr="004D250D">
              <w:t xml:space="preserve"> needs</w:t>
            </w:r>
            <w:r w:rsidR="0080567B">
              <w:t xml:space="preserve">. </w:t>
            </w:r>
          </w:p>
          <w:p w:rsidR="0080567B" w:rsidRDefault="0080567B" w:rsidP="0080567B">
            <w:pPr>
              <w:pStyle w:val="ListParagraph"/>
            </w:pPr>
          </w:p>
          <w:p w:rsidR="00730811" w:rsidRPr="0080567B" w:rsidRDefault="0080567B" w:rsidP="0080567B">
            <w:pPr>
              <w:rPr>
                <w:rFonts w:ascii="Arial" w:hAnsi="Arial" w:cs="Arial"/>
              </w:rPr>
            </w:pPr>
            <w:r w:rsidRPr="0080567B">
              <w:rPr>
                <w:rFonts w:ascii="Arial" w:hAnsi="Arial" w:cs="Arial"/>
              </w:rPr>
              <w:t xml:space="preserve">Examples which </w:t>
            </w:r>
            <w:r w:rsidR="00730811" w:rsidRPr="0080567B">
              <w:rPr>
                <w:rFonts w:ascii="Arial" w:hAnsi="Arial" w:cs="Arial"/>
              </w:rPr>
              <w:t xml:space="preserve">have progressed well are: </w:t>
            </w:r>
          </w:p>
          <w:p w:rsidR="00730811" w:rsidRDefault="00730811" w:rsidP="00E6298F">
            <w:pPr>
              <w:pStyle w:val="ListParagraph"/>
              <w:numPr>
                <w:ilvl w:val="0"/>
                <w:numId w:val="26"/>
              </w:numPr>
              <w:spacing w:before="0"/>
              <w:ind w:left="714" w:hanging="357"/>
            </w:pPr>
            <w:r>
              <w:t xml:space="preserve">Commencement of </w:t>
            </w:r>
            <w:r w:rsidR="0080567B">
              <w:t xml:space="preserve">a </w:t>
            </w:r>
            <w:r>
              <w:t xml:space="preserve">cohort of </w:t>
            </w:r>
            <w:r w:rsidR="00C94D19">
              <w:t xml:space="preserve">ten health care assistants who have gained nurse registration outside of the UK and are now living in UK </w:t>
            </w:r>
            <w:r>
              <w:t xml:space="preserve">who are </w:t>
            </w:r>
            <w:r w:rsidR="0080567B">
              <w:t xml:space="preserve">being </w:t>
            </w:r>
            <w:r>
              <w:t xml:space="preserve">supported to obtain necessary requirements to enter NMC register. </w:t>
            </w:r>
          </w:p>
          <w:p w:rsidR="00730811" w:rsidRDefault="00C94D19" w:rsidP="00730811">
            <w:pPr>
              <w:pStyle w:val="ListParagraph"/>
              <w:numPr>
                <w:ilvl w:val="0"/>
                <w:numId w:val="26"/>
              </w:numPr>
            </w:pPr>
            <w:r>
              <w:t>O</w:t>
            </w:r>
            <w:r w:rsidR="00730811">
              <w:t xml:space="preserve">pening of simulation </w:t>
            </w:r>
            <w:r w:rsidR="0080567B">
              <w:t>laboratory</w:t>
            </w:r>
            <w:r w:rsidR="00730811">
              <w:t xml:space="preserve"> at Kidderminster</w:t>
            </w:r>
            <w:r>
              <w:t xml:space="preserve"> to support skill developments.</w:t>
            </w:r>
            <w:r w:rsidR="00730811">
              <w:t xml:space="preserve"> </w:t>
            </w:r>
          </w:p>
          <w:p w:rsidR="00730811" w:rsidRDefault="00730811" w:rsidP="00730811">
            <w:pPr>
              <w:pStyle w:val="ListParagraph"/>
              <w:numPr>
                <w:ilvl w:val="0"/>
                <w:numId w:val="26"/>
              </w:numPr>
            </w:pPr>
            <w:r>
              <w:t xml:space="preserve">International recognition for Consultant Midwife for research on maternity roles in UK. </w:t>
            </w:r>
          </w:p>
          <w:p w:rsidR="00730811" w:rsidRDefault="00730811" w:rsidP="00730811">
            <w:pPr>
              <w:pStyle w:val="ListParagraph"/>
              <w:numPr>
                <w:ilvl w:val="0"/>
                <w:numId w:val="26"/>
              </w:numPr>
            </w:pPr>
            <w:r>
              <w:t>The workforce nursing team have been shortlisted for Nursing Times award</w:t>
            </w:r>
            <w:r w:rsidR="00C94D19">
              <w:t>s in October 2019</w:t>
            </w:r>
            <w:r>
              <w:t xml:space="preserve"> for work achieved in recruitment and retention. </w:t>
            </w:r>
          </w:p>
          <w:p w:rsidR="0080567B" w:rsidRDefault="0080567B" w:rsidP="00730811">
            <w:pPr>
              <w:pStyle w:val="ListParagraph"/>
              <w:numPr>
                <w:ilvl w:val="0"/>
                <w:numId w:val="26"/>
              </w:numPr>
            </w:pPr>
            <w:r>
              <w:t>Principles for winter staffing agreed and the staffing template for the new wards drafted and subject to final approval.</w:t>
            </w:r>
          </w:p>
          <w:p w:rsidR="00730811" w:rsidRPr="00E6298F" w:rsidRDefault="00730811" w:rsidP="00E6298F">
            <w:pPr>
              <w:pStyle w:val="ListParagraph"/>
              <w:spacing w:before="0"/>
            </w:pPr>
          </w:p>
          <w:p w:rsidR="00730811" w:rsidRPr="00E6298F" w:rsidRDefault="00730811" w:rsidP="00E6298F">
            <w:pPr>
              <w:rPr>
                <w:rFonts w:ascii="Arial" w:hAnsi="Arial" w:cs="Arial"/>
              </w:rPr>
            </w:pPr>
            <w:r w:rsidRPr="00E6298F">
              <w:rPr>
                <w:rFonts w:ascii="Arial" w:hAnsi="Arial" w:cs="Arial"/>
              </w:rPr>
              <w:t>Areas that require support to progress further are:</w:t>
            </w:r>
          </w:p>
          <w:p w:rsidR="00730811" w:rsidRDefault="00730811" w:rsidP="00E6298F">
            <w:pPr>
              <w:pStyle w:val="ListParagraph"/>
              <w:numPr>
                <w:ilvl w:val="0"/>
                <w:numId w:val="27"/>
              </w:numPr>
              <w:spacing w:before="0"/>
            </w:pPr>
            <w:r w:rsidRPr="00E6298F">
              <w:t>Development of IT infrastructure for introduction</w:t>
            </w:r>
            <w:r>
              <w:t xml:space="preserve"> of safer care module ‘Allocate’,</w:t>
            </w:r>
          </w:p>
          <w:p w:rsidR="00730811" w:rsidRDefault="0080567B" w:rsidP="00730811">
            <w:pPr>
              <w:pStyle w:val="ListParagraph"/>
              <w:numPr>
                <w:ilvl w:val="0"/>
                <w:numId w:val="27"/>
              </w:numPr>
            </w:pPr>
            <w:r>
              <w:t xml:space="preserve">The detailed </w:t>
            </w:r>
            <w:proofErr w:type="spellStart"/>
            <w:r>
              <w:t>wte</w:t>
            </w:r>
            <w:proofErr w:type="spellEnd"/>
            <w:r>
              <w:t xml:space="preserve"> s</w:t>
            </w:r>
            <w:r w:rsidR="00730811">
              <w:t xml:space="preserve">taffing </w:t>
            </w:r>
            <w:r>
              <w:t xml:space="preserve">requirements </w:t>
            </w:r>
            <w:r w:rsidR="00730811">
              <w:t>for winter pressures</w:t>
            </w:r>
            <w:r>
              <w:t xml:space="preserve"> need finalising</w:t>
            </w:r>
            <w:r w:rsidR="00730811">
              <w:t xml:space="preserve"> </w:t>
            </w:r>
          </w:p>
          <w:p w:rsidR="00F9349B" w:rsidRPr="004D250D" w:rsidRDefault="00730811" w:rsidP="00730811">
            <w:pPr>
              <w:pStyle w:val="ListParagraph"/>
              <w:numPr>
                <w:ilvl w:val="0"/>
                <w:numId w:val="27"/>
              </w:numPr>
            </w:pPr>
            <w:r>
              <w:t>Development of workforce plan for medical division to staff 48 new beds coming on line following refurbishment of Aconbury East in March 2019.</w:t>
            </w:r>
          </w:p>
          <w:p w:rsidR="004D250D" w:rsidRPr="004D250D" w:rsidRDefault="004D250D" w:rsidP="004D250D">
            <w:pPr>
              <w:pStyle w:val="ListParagraph"/>
            </w:pPr>
          </w:p>
          <w:p w:rsidR="0014544B" w:rsidRDefault="00F55D0C" w:rsidP="0014544B">
            <w:pPr>
              <w:pStyle w:val="ListParagraph"/>
              <w:numPr>
                <w:ilvl w:val="0"/>
                <w:numId w:val="1"/>
              </w:numPr>
            </w:pPr>
            <w:r w:rsidRPr="004D250D">
              <w:t xml:space="preserve">A review </w:t>
            </w:r>
            <w:r w:rsidR="00EB6377" w:rsidRPr="004D250D">
              <w:t>was prompted</w:t>
            </w:r>
            <w:r w:rsidR="00E90A1E" w:rsidRPr="004D250D">
              <w:t xml:space="preserve"> when anomalies in budget setting was identified in early June 18.  These anomalies consisted of a reported increase in </w:t>
            </w:r>
            <w:r w:rsidR="001C2E45" w:rsidRPr="004D250D">
              <w:t>T</w:t>
            </w:r>
            <w:r w:rsidR="00E90A1E" w:rsidRPr="004D250D">
              <w:t>rust wide vacancy factor in May</w:t>
            </w:r>
            <w:r w:rsidR="001C2E45" w:rsidRPr="004D250D">
              <w:t xml:space="preserve"> 18</w:t>
            </w:r>
            <w:r w:rsidR="00E90A1E" w:rsidRPr="004D250D">
              <w:t xml:space="preserve">.  </w:t>
            </w:r>
            <w:r w:rsidR="0080567B">
              <w:t xml:space="preserve">A paper to update the Committee on further work undertaken is on the agenda. </w:t>
            </w:r>
            <w:r w:rsidRPr="004D250D">
              <w:t xml:space="preserve"> </w:t>
            </w:r>
          </w:p>
          <w:p w:rsidR="0014544B" w:rsidRPr="00013359" w:rsidRDefault="0014544B" w:rsidP="0014544B">
            <w:pPr>
              <w:pStyle w:val="ListParagraph"/>
            </w:pPr>
          </w:p>
        </w:tc>
      </w:tr>
      <w:tr w:rsidR="002E4321" w:rsidTr="00143E19">
        <w:tc>
          <w:tcPr>
            <w:tcW w:w="10916" w:type="dxa"/>
            <w:shd w:val="clear" w:color="auto" w:fill="FBD4B4" w:themeFill="accent6" w:themeFillTint="66"/>
          </w:tcPr>
          <w:p w:rsidR="002E4321" w:rsidRDefault="002E4321" w:rsidP="00362FD7">
            <w:pPr>
              <w:rPr>
                <w:rFonts w:ascii="Arial" w:hAnsi="Arial" w:cs="Arial"/>
              </w:rPr>
            </w:pPr>
            <w:r>
              <w:rPr>
                <w:rFonts w:ascii="Arial" w:hAnsi="Arial" w:cs="Arial"/>
              </w:rPr>
              <w:t>Background</w:t>
            </w:r>
          </w:p>
        </w:tc>
      </w:tr>
      <w:tr w:rsidR="002E4321" w:rsidTr="00186B5A">
        <w:tc>
          <w:tcPr>
            <w:tcW w:w="10916" w:type="dxa"/>
          </w:tcPr>
          <w:p w:rsidR="00E6298F" w:rsidRPr="00F47FEA" w:rsidRDefault="00E6298F" w:rsidP="00143E19">
            <w:pPr>
              <w:spacing w:after="200"/>
              <w:ind w:left="34"/>
              <w:contextualSpacing/>
              <w:jc w:val="both"/>
              <w:rPr>
                <w:rFonts w:ascii="Arial" w:eastAsia="Times New Roman" w:hAnsi="Arial" w:cs="Arial"/>
                <w:lang w:eastAsia="en-GB"/>
              </w:rPr>
            </w:pPr>
            <w:r w:rsidRPr="00F47FEA">
              <w:rPr>
                <w:rFonts w:ascii="Arial" w:eastAsia="Times New Roman" w:hAnsi="Arial" w:cs="Arial"/>
                <w:lang w:eastAsia="en-GB"/>
              </w:rPr>
              <w:t>Following the Francis Report (2014), all NHS Trusts are required to submit monthly data, detailing ward nursing and midwifery staffing fi</w:t>
            </w:r>
            <w:r>
              <w:rPr>
                <w:rFonts w:ascii="Arial" w:eastAsia="Times New Roman" w:hAnsi="Arial" w:cs="Arial"/>
                <w:lang w:eastAsia="en-GB"/>
              </w:rPr>
              <w:t>ll rates against a rate of less than 25% planned</w:t>
            </w:r>
            <w:r w:rsidRPr="00F47FEA">
              <w:rPr>
                <w:rFonts w:ascii="Arial" w:eastAsia="Times New Roman" w:hAnsi="Arial" w:cs="Arial"/>
                <w:lang w:eastAsia="en-GB"/>
              </w:rPr>
              <w:t xml:space="preserve">. This information is required to be presented to a Board Committee and published on the Trust website. </w:t>
            </w:r>
          </w:p>
          <w:p w:rsidR="00E6298F" w:rsidRPr="00F47FEA" w:rsidRDefault="00E6298F" w:rsidP="00143E19">
            <w:pPr>
              <w:spacing w:after="200"/>
              <w:ind w:left="34"/>
              <w:contextualSpacing/>
              <w:jc w:val="both"/>
              <w:rPr>
                <w:rFonts w:ascii="Arial" w:eastAsia="Times New Roman" w:hAnsi="Arial" w:cs="Arial"/>
                <w:lang w:eastAsia="en-GB"/>
              </w:rPr>
            </w:pPr>
          </w:p>
          <w:p w:rsidR="00E6298F" w:rsidRDefault="00E6298F" w:rsidP="00143E19">
            <w:pPr>
              <w:spacing w:after="200"/>
              <w:ind w:left="34"/>
              <w:contextualSpacing/>
              <w:jc w:val="both"/>
              <w:rPr>
                <w:rFonts w:ascii="Arial" w:eastAsia="Times New Roman" w:hAnsi="Arial" w:cs="Arial"/>
                <w:lang w:eastAsia="en-GB"/>
              </w:rPr>
            </w:pPr>
            <w:r w:rsidRPr="00F47FEA">
              <w:rPr>
                <w:rFonts w:ascii="Arial" w:eastAsia="Times New Roman" w:hAnsi="Arial" w:cs="Arial"/>
                <w:lang w:eastAsia="en-GB"/>
              </w:rPr>
              <w:t xml:space="preserve">The integrated score card (See Appendix 1) reports the </w:t>
            </w:r>
            <w:r>
              <w:rPr>
                <w:rFonts w:ascii="Arial" w:eastAsia="Times New Roman" w:hAnsi="Arial" w:cs="Arial"/>
                <w:lang w:eastAsia="en-GB"/>
              </w:rPr>
              <w:t xml:space="preserve">June and July </w:t>
            </w:r>
            <w:r w:rsidRPr="00F47FEA">
              <w:rPr>
                <w:rFonts w:ascii="Arial" w:eastAsia="Times New Roman" w:hAnsi="Arial" w:cs="Arial"/>
                <w:lang w:eastAsia="en-GB"/>
              </w:rPr>
              <w:t xml:space="preserve">2018 data. </w:t>
            </w:r>
          </w:p>
          <w:p w:rsidR="00E6298F" w:rsidRDefault="00E6298F" w:rsidP="00143E19">
            <w:pPr>
              <w:spacing w:after="200"/>
              <w:ind w:left="34"/>
              <w:contextualSpacing/>
              <w:jc w:val="both"/>
              <w:rPr>
                <w:rFonts w:ascii="Arial" w:eastAsia="Times New Roman" w:hAnsi="Arial" w:cs="Arial"/>
                <w:lang w:eastAsia="en-GB"/>
              </w:rPr>
            </w:pPr>
          </w:p>
          <w:p w:rsidR="00E6298F" w:rsidRDefault="00E6298F" w:rsidP="00143E19">
            <w:pPr>
              <w:spacing w:after="200"/>
              <w:ind w:left="34"/>
              <w:contextualSpacing/>
              <w:jc w:val="both"/>
              <w:rPr>
                <w:rFonts w:ascii="Arial" w:eastAsia="Times New Roman" w:hAnsi="Arial" w:cs="Arial"/>
                <w:lang w:val="en" w:eastAsia="en-GB"/>
              </w:rPr>
            </w:pPr>
            <w:r w:rsidRPr="00F47FEA">
              <w:rPr>
                <w:rFonts w:ascii="Arial" w:eastAsia="Times New Roman" w:hAnsi="Arial" w:cs="Arial"/>
                <w:lang w:val="en" w:eastAsia="en-GB"/>
              </w:rPr>
              <w:t xml:space="preserve">The staffing level fill rates are RAG rated as Green above 90%, Amber 80-89% and Red 79% and below. </w:t>
            </w:r>
          </w:p>
          <w:p w:rsidR="00E6298F" w:rsidRDefault="00E6298F" w:rsidP="00143E19">
            <w:pPr>
              <w:spacing w:after="200"/>
              <w:ind w:left="34"/>
              <w:contextualSpacing/>
              <w:jc w:val="both"/>
              <w:rPr>
                <w:rFonts w:ascii="Arial" w:eastAsia="Times New Roman" w:hAnsi="Arial" w:cs="Arial"/>
                <w:lang w:val="en" w:eastAsia="en-GB"/>
              </w:rPr>
            </w:pPr>
          </w:p>
          <w:p w:rsidR="00BD067B" w:rsidRDefault="00E6298F" w:rsidP="00E6298F">
            <w:pPr>
              <w:jc w:val="both"/>
            </w:pPr>
            <w:r w:rsidRPr="00174F2E">
              <w:rPr>
                <w:rFonts w:ascii="Arial" w:hAnsi="Arial" w:cs="Arial"/>
              </w:rPr>
              <w:t xml:space="preserve">In October 2017 the Health </w:t>
            </w:r>
            <w:r>
              <w:rPr>
                <w:rFonts w:ascii="Arial" w:hAnsi="Arial" w:cs="Arial"/>
              </w:rPr>
              <w:t>S</w:t>
            </w:r>
            <w:r w:rsidRPr="00174F2E">
              <w:rPr>
                <w:rFonts w:ascii="Arial" w:hAnsi="Arial" w:cs="Arial"/>
              </w:rPr>
              <w:t xml:space="preserve">ecretary announced the need to support nursing workforce reforms.  These reforms included improvement to working conditions.  The </w:t>
            </w:r>
            <w:r>
              <w:rPr>
                <w:rFonts w:ascii="Arial" w:hAnsi="Arial" w:cs="Arial"/>
              </w:rPr>
              <w:t>T</w:t>
            </w:r>
            <w:r w:rsidRPr="00174F2E">
              <w:rPr>
                <w:rFonts w:ascii="Arial" w:hAnsi="Arial" w:cs="Arial"/>
              </w:rPr>
              <w:t xml:space="preserve">rust has been committed to supporting the reforms required to </w:t>
            </w:r>
            <w:r>
              <w:rPr>
                <w:rFonts w:ascii="Arial" w:hAnsi="Arial" w:cs="Arial"/>
              </w:rPr>
              <w:t xml:space="preserve">development and roll out </w:t>
            </w:r>
            <w:r w:rsidRPr="00174F2E">
              <w:rPr>
                <w:rFonts w:ascii="Arial" w:hAnsi="Arial" w:cs="Arial"/>
              </w:rPr>
              <w:t xml:space="preserve">initiatives and work streams </w:t>
            </w:r>
            <w:r>
              <w:rPr>
                <w:rFonts w:ascii="Arial" w:hAnsi="Arial" w:cs="Arial"/>
              </w:rPr>
              <w:t xml:space="preserve">to provide safe staffing levels on wards to meet patient need and demand.  The trust has in place work streams for Nursing and Midwifery </w:t>
            </w:r>
            <w:r>
              <w:rPr>
                <w:rFonts w:ascii="Arial" w:hAnsi="Arial" w:cs="Arial"/>
              </w:rPr>
              <w:lastRenderedPageBreak/>
              <w:t>staffing : Recruit, Retain, Return, Retire, Redesign, Reward known as ‘R’s supporting national reforms required to ensure safe, sustainable care is available to meet patient need and demand.</w:t>
            </w:r>
          </w:p>
          <w:p w:rsidR="002E4321" w:rsidRDefault="002E4321" w:rsidP="00362FD7">
            <w:pPr>
              <w:rPr>
                <w:rFonts w:ascii="Arial" w:hAnsi="Arial" w:cs="Arial"/>
              </w:rPr>
            </w:pPr>
          </w:p>
        </w:tc>
      </w:tr>
      <w:tr w:rsidR="002E4321" w:rsidTr="00143E19">
        <w:tc>
          <w:tcPr>
            <w:tcW w:w="10916"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Issues and options</w:t>
            </w:r>
          </w:p>
        </w:tc>
      </w:tr>
      <w:tr w:rsidR="00F47FEA" w:rsidTr="00186B5A">
        <w:tc>
          <w:tcPr>
            <w:tcW w:w="10916" w:type="dxa"/>
            <w:shd w:val="clear" w:color="auto" w:fill="FFFFFF" w:themeFill="background1"/>
          </w:tcPr>
          <w:p w:rsidR="00692BA3" w:rsidRDefault="001D4C16" w:rsidP="003A5C6B">
            <w:pPr>
              <w:rPr>
                <w:rFonts w:ascii="Arial" w:hAnsi="Arial" w:cs="Arial"/>
              </w:rPr>
            </w:pPr>
            <w:r w:rsidRPr="003C7883">
              <w:rPr>
                <w:rFonts w:ascii="Arial" w:hAnsi="Arial" w:cs="Arial"/>
              </w:rPr>
              <w:t>S</w:t>
            </w:r>
            <w:r w:rsidR="00DA20F8" w:rsidRPr="003C7883">
              <w:rPr>
                <w:rFonts w:ascii="Arial" w:hAnsi="Arial" w:cs="Arial"/>
              </w:rPr>
              <w:t xml:space="preserve">taffing levels across </w:t>
            </w:r>
            <w:r w:rsidR="00ED5D0D" w:rsidRPr="003C7883">
              <w:rPr>
                <w:rFonts w:ascii="Arial" w:hAnsi="Arial" w:cs="Arial"/>
              </w:rPr>
              <w:t>the Trust for the months of June and July</w:t>
            </w:r>
            <w:r w:rsidR="00DA20F8" w:rsidRPr="003C7883">
              <w:rPr>
                <w:rFonts w:ascii="Arial" w:hAnsi="Arial" w:cs="Arial"/>
              </w:rPr>
              <w:t xml:space="preserve"> </w:t>
            </w:r>
            <w:r w:rsidR="00BD067B" w:rsidRPr="003C7883">
              <w:rPr>
                <w:rFonts w:ascii="Arial" w:hAnsi="Arial" w:cs="Arial"/>
              </w:rPr>
              <w:t>20</w:t>
            </w:r>
            <w:r w:rsidR="00DA20F8" w:rsidRPr="003C7883">
              <w:rPr>
                <w:rFonts w:ascii="Arial" w:hAnsi="Arial" w:cs="Arial"/>
              </w:rPr>
              <w:t xml:space="preserve">18 were </w:t>
            </w:r>
            <w:r w:rsidR="00616200">
              <w:rPr>
                <w:rFonts w:ascii="Arial" w:hAnsi="Arial" w:cs="Arial"/>
              </w:rPr>
              <w:t xml:space="preserve">greater than 75% above </w:t>
            </w:r>
            <w:r w:rsidR="004D250D">
              <w:rPr>
                <w:rFonts w:ascii="Arial" w:hAnsi="Arial" w:cs="Arial"/>
              </w:rPr>
              <w:t>planned.</w:t>
            </w:r>
            <w:r w:rsidR="003A5C6B" w:rsidRPr="003C7883">
              <w:rPr>
                <w:rFonts w:ascii="Arial" w:hAnsi="Arial" w:cs="Arial"/>
              </w:rPr>
              <w:t xml:space="preserve"> </w:t>
            </w:r>
          </w:p>
          <w:p w:rsidR="00692BA3" w:rsidRDefault="00692BA3" w:rsidP="003A5C6B">
            <w:pPr>
              <w:rPr>
                <w:rFonts w:ascii="Arial" w:hAnsi="Arial" w:cs="Arial"/>
              </w:rPr>
            </w:pPr>
          </w:p>
          <w:p w:rsidR="00ED2247" w:rsidRDefault="00692BA3" w:rsidP="003A5C6B">
            <w:pPr>
              <w:rPr>
                <w:rFonts w:ascii="Arial" w:hAnsi="Arial" w:cs="Arial"/>
              </w:rPr>
            </w:pPr>
            <w:r>
              <w:rPr>
                <w:rFonts w:ascii="Arial" w:hAnsi="Arial" w:cs="Arial"/>
              </w:rPr>
              <w:t>Table 1 and 2 provide breakdown by staff group</w:t>
            </w:r>
            <w:r w:rsidR="00C94D19">
              <w:rPr>
                <w:rFonts w:ascii="Arial" w:hAnsi="Arial" w:cs="Arial"/>
              </w:rPr>
              <w:t xml:space="preserve"> of registered and non-registered (health care assistants)</w:t>
            </w:r>
            <w:r>
              <w:rPr>
                <w:rFonts w:ascii="Arial" w:hAnsi="Arial" w:cs="Arial"/>
              </w:rPr>
              <w:t xml:space="preserve"> and day/night shift.</w:t>
            </w:r>
            <w:r w:rsidR="00480410">
              <w:rPr>
                <w:rFonts w:ascii="Arial" w:hAnsi="Arial" w:cs="Arial"/>
              </w:rPr>
              <w:t xml:space="preserve">  </w:t>
            </w:r>
          </w:p>
          <w:p w:rsidR="00ED2247" w:rsidRDefault="00ED2247" w:rsidP="003A5C6B">
            <w:pPr>
              <w:rPr>
                <w:rFonts w:ascii="Arial" w:hAnsi="Arial" w:cs="Arial"/>
              </w:rPr>
            </w:pPr>
          </w:p>
          <w:p w:rsidR="003A5C6B" w:rsidRPr="003C7883" w:rsidRDefault="00480410" w:rsidP="003A5C6B">
            <w:pPr>
              <w:rPr>
                <w:rFonts w:ascii="Arial" w:hAnsi="Arial" w:cs="Arial"/>
              </w:rPr>
            </w:pPr>
            <w:r>
              <w:rPr>
                <w:rFonts w:ascii="Arial" w:hAnsi="Arial" w:cs="Arial"/>
              </w:rPr>
              <w:t xml:space="preserve">The data identifies </w:t>
            </w:r>
            <w:r w:rsidR="00692BA3" w:rsidRPr="003C7883">
              <w:rPr>
                <w:rFonts w:ascii="Arial" w:hAnsi="Arial" w:cs="Arial"/>
                <w:iCs/>
              </w:rPr>
              <w:t xml:space="preserve">that overall </w:t>
            </w:r>
            <w:r w:rsidR="00692BA3">
              <w:rPr>
                <w:rFonts w:ascii="Arial" w:hAnsi="Arial" w:cs="Arial"/>
                <w:iCs/>
              </w:rPr>
              <w:t>staffing was in line with the planned levels to meet patient need.  T</w:t>
            </w:r>
            <w:r w:rsidR="003A5C6B" w:rsidRPr="003C7883">
              <w:rPr>
                <w:rFonts w:ascii="Arial" w:hAnsi="Arial" w:cs="Arial"/>
              </w:rPr>
              <w:t>here were</w:t>
            </w:r>
            <w:r w:rsidR="00692BA3">
              <w:rPr>
                <w:rFonts w:ascii="Arial" w:hAnsi="Arial" w:cs="Arial"/>
              </w:rPr>
              <w:t xml:space="preserve"> individual occasions when </w:t>
            </w:r>
            <w:r w:rsidR="003A5C6B" w:rsidRPr="003C7883">
              <w:rPr>
                <w:rFonts w:ascii="Arial" w:hAnsi="Arial" w:cs="Arial"/>
              </w:rPr>
              <w:t xml:space="preserve">wards had </w:t>
            </w:r>
            <w:r w:rsidR="00EB6377" w:rsidRPr="003C7883">
              <w:rPr>
                <w:rFonts w:ascii="Arial" w:hAnsi="Arial" w:cs="Arial"/>
              </w:rPr>
              <w:t>staffing</w:t>
            </w:r>
            <w:r w:rsidR="001C2E45" w:rsidRPr="003C7883">
              <w:rPr>
                <w:rFonts w:ascii="Arial" w:hAnsi="Arial" w:cs="Arial"/>
              </w:rPr>
              <w:t xml:space="preserve"> </w:t>
            </w:r>
            <w:r w:rsidR="00DA20F8" w:rsidRPr="003C7883">
              <w:rPr>
                <w:rFonts w:ascii="Arial" w:hAnsi="Arial" w:cs="Arial"/>
              </w:rPr>
              <w:t xml:space="preserve">levels </w:t>
            </w:r>
            <w:r w:rsidR="003A5C6B" w:rsidRPr="003C7883">
              <w:rPr>
                <w:rFonts w:ascii="Arial" w:hAnsi="Arial" w:cs="Arial"/>
              </w:rPr>
              <w:t xml:space="preserve">drop to </w:t>
            </w:r>
            <w:r w:rsidR="00DA20F8" w:rsidRPr="003C7883">
              <w:rPr>
                <w:rFonts w:ascii="Arial" w:hAnsi="Arial" w:cs="Arial"/>
              </w:rPr>
              <w:t>below</w:t>
            </w:r>
            <w:r w:rsidR="003A5C6B" w:rsidRPr="003C7883">
              <w:rPr>
                <w:rFonts w:ascii="Arial" w:hAnsi="Arial" w:cs="Arial"/>
              </w:rPr>
              <w:t xml:space="preserve"> that </w:t>
            </w:r>
            <w:r w:rsidR="004D250D">
              <w:rPr>
                <w:rFonts w:ascii="Arial" w:hAnsi="Arial" w:cs="Arial"/>
              </w:rPr>
              <w:t xml:space="preserve">planned </w:t>
            </w:r>
            <w:r>
              <w:rPr>
                <w:rFonts w:ascii="Arial" w:hAnsi="Arial" w:cs="Arial"/>
              </w:rPr>
              <w:t xml:space="preserve">due to staff sickness and the requirement to move staff to cover additional capacity </w:t>
            </w:r>
            <w:r w:rsidR="003A5C6B" w:rsidRPr="003C7883">
              <w:rPr>
                <w:rFonts w:ascii="Arial" w:hAnsi="Arial" w:cs="Arial"/>
              </w:rPr>
              <w:t>and times when it was above 100%</w:t>
            </w:r>
            <w:r w:rsidR="00BD067B" w:rsidRPr="003C7883">
              <w:rPr>
                <w:rFonts w:ascii="Arial" w:hAnsi="Arial" w:cs="Arial"/>
              </w:rPr>
              <w:t xml:space="preserve">. </w:t>
            </w:r>
            <w:r w:rsidR="00DA20F8" w:rsidRPr="003C7883">
              <w:rPr>
                <w:rFonts w:ascii="Arial" w:hAnsi="Arial" w:cs="Arial"/>
              </w:rPr>
              <w:t xml:space="preserve"> </w:t>
            </w:r>
            <w:r w:rsidR="00C94D19">
              <w:rPr>
                <w:rFonts w:ascii="Arial" w:hAnsi="Arial" w:cs="Arial"/>
              </w:rPr>
              <w:t>In all occasions mitigations through assessment, escalation and appropriate actions were put into place to meet patient care/demand at that time.</w:t>
            </w:r>
          </w:p>
          <w:p w:rsidR="00692BA3" w:rsidRDefault="00692BA3" w:rsidP="001D4C16">
            <w:pPr>
              <w:jc w:val="both"/>
              <w:rPr>
                <w:rFonts w:ascii="Arial" w:eastAsia="Times New Roman" w:hAnsi="Arial" w:cs="Arial"/>
                <w:b/>
                <w:lang w:eastAsia="en-GB"/>
              </w:rPr>
            </w:pPr>
          </w:p>
          <w:p w:rsidR="001D4C16" w:rsidRPr="003C7883" w:rsidRDefault="00BA78EF" w:rsidP="001D4C16">
            <w:pPr>
              <w:jc w:val="both"/>
              <w:rPr>
                <w:rFonts w:ascii="Arial" w:hAnsi="Arial" w:cs="Arial"/>
              </w:rPr>
            </w:pPr>
            <w:r>
              <w:rPr>
                <w:rFonts w:ascii="Arial" w:eastAsia="Times New Roman" w:hAnsi="Arial" w:cs="Arial"/>
                <w:b/>
                <w:lang w:eastAsia="en-GB"/>
              </w:rPr>
              <w:t xml:space="preserve">Table 1. </w:t>
            </w:r>
            <w:r w:rsidR="001D4C16" w:rsidRPr="003C7883">
              <w:rPr>
                <w:rFonts w:ascii="Arial" w:eastAsia="Times New Roman" w:hAnsi="Arial" w:cs="Arial"/>
                <w:b/>
                <w:lang w:eastAsia="en-GB"/>
              </w:rPr>
              <w:t>RN/HCA fill rates for</w:t>
            </w:r>
            <w:r w:rsidR="00480410">
              <w:rPr>
                <w:rFonts w:ascii="Arial" w:eastAsia="Times New Roman" w:hAnsi="Arial" w:cs="Arial"/>
                <w:b/>
                <w:lang w:eastAsia="en-GB"/>
              </w:rPr>
              <w:t xml:space="preserve"> June 2018</w:t>
            </w:r>
            <w:r w:rsidR="001D4C16" w:rsidRPr="003C7883">
              <w:rPr>
                <w:rFonts w:ascii="Arial" w:eastAsia="Times New Roman" w:hAnsi="Arial" w:cs="Arial"/>
                <w:b/>
                <w:lang w:eastAsia="en-GB"/>
              </w:rPr>
              <w:t xml:space="preserve"> days and nights – Overall Trust position (Inpatient)</w:t>
            </w:r>
          </w:p>
          <w:p w:rsidR="001D4C16" w:rsidRPr="003C7883" w:rsidRDefault="001D4C16" w:rsidP="001D4C16">
            <w:pPr>
              <w:jc w:val="both"/>
              <w:rPr>
                <w:rFonts w:ascii="Arial" w:eastAsia="Times New Roman" w:hAnsi="Arial" w:cs="Arial"/>
                <w:b/>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553"/>
              <w:gridCol w:w="1604"/>
              <w:gridCol w:w="1605"/>
              <w:gridCol w:w="1241"/>
              <w:gridCol w:w="1241"/>
              <w:gridCol w:w="1241"/>
            </w:tblGrid>
            <w:tr w:rsidR="00186B5A" w:rsidRPr="003C7883" w:rsidTr="0080567B">
              <w:tc>
                <w:tcPr>
                  <w:tcW w:w="1472"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sidRPr="003C7883">
                    <w:rPr>
                      <w:rFonts w:ascii="Arial" w:eastAsia="Times New Roman" w:hAnsi="Arial" w:cs="Arial"/>
                      <w:b/>
                      <w:lang w:eastAsia="en-GB"/>
                    </w:rPr>
                    <w:t>RN</w:t>
                  </w:r>
                  <w:r>
                    <w:rPr>
                      <w:rFonts w:ascii="Arial" w:eastAsia="Times New Roman" w:hAnsi="Arial" w:cs="Arial"/>
                      <w:b/>
                      <w:lang w:eastAsia="en-GB"/>
                    </w:rPr>
                    <w:t>/RM</w:t>
                  </w:r>
                  <w:r w:rsidRPr="003C7883">
                    <w:rPr>
                      <w:rFonts w:ascii="Arial" w:eastAsia="Times New Roman" w:hAnsi="Arial" w:cs="Arial"/>
                      <w:b/>
                      <w:lang w:eastAsia="en-GB"/>
                    </w:rPr>
                    <w:t xml:space="preserve"> day</w:t>
                  </w:r>
                </w:p>
              </w:tc>
              <w:tc>
                <w:tcPr>
                  <w:tcW w:w="1553"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sidRPr="003C7883">
                    <w:rPr>
                      <w:rFonts w:ascii="Arial" w:eastAsia="Times New Roman" w:hAnsi="Arial" w:cs="Arial"/>
                      <w:b/>
                      <w:lang w:eastAsia="en-GB"/>
                    </w:rPr>
                    <w:t>RN</w:t>
                  </w:r>
                  <w:r>
                    <w:rPr>
                      <w:rFonts w:ascii="Arial" w:eastAsia="Times New Roman" w:hAnsi="Arial" w:cs="Arial"/>
                      <w:b/>
                      <w:lang w:eastAsia="en-GB"/>
                    </w:rPr>
                    <w:t>/RM</w:t>
                  </w:r>
                  <w:r w:rsidRPr="003C7883">
                    <w:rPr>
                      <w:rFonts w:ascii="Arial" w:eastAsia="Times New Roman" w:hAnsi="Arial" w:cs="Arial"/>
                      <w:b/>
                      <w:lang w:eastAsia="en-GB"/>
                    </w:rPr>
                    <w:t xml:space="preserve"> night</w:t>
                  </w:r>
                </w:p>
              </w:tc>
              <w:tc>
                <w:tcPr>
                  <w:tcW w:w="1604"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Pr>
                      <w:rFonts w:ascii="Arial" w:eastAsia="Times New Roman" w:hAnsi="Arial" w:cs="Arial"/>
                      <w:b/>
                      <w:lang w:eastAsia="en-GB"/>
                    </w:rPr>
                    <w:t>Non registered (HCA) d</w:t>
                  </w:r>
                  <w:r w:rsidRPr="003C7883">
                    <w:rPr>
                      <w:rFonts w:ascii="Arial" w:eastAsia="Times New Roman" w:hAnsi="Arial" w:cs="Arial"/>
                      <w:b/>
                      <w:lang w:eastAsia="en-GB"/>
                    </w:rPr>
                    <w:t>ay</w:t>
                  </w:r>
                </w:p>
              </w:tc>
              <w:tc>
                <w:tcPr>
                  <w:tcW w:w="1605"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Non registered (HCA) </w:t>
                  </w:r>
                  <w:r w:rsidRPr="003C7883">
                    <w:rPr>
                      <w:rFonts w:ascii="Arial" w:eastAsia="Times New Roman" w:hAnsi="Arial" w:cs="Arial"/>
                      <w:b/>
                      <w:lang w:eastAsia="en-GB"/>
                    </w:rPr>
                    <w:t>night</w:t>
                  </w:r>
                </w:p>
              </w:tc>
              <w:tc>
                <w:tcPr>
                  <w:tcW w:w="1241"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sidRPr="003C7883">
                    <w:rPr>
                      <w:rFonts w:ascii="Arial" w:eastAsia="Times New Roman" w:hAnsi="Arial" w:cs="Arial"/>
                      <w:b/>
                      <w:lang w:eastAsia="en-GB"/>
                    </w:rPr>
                    <w:t>Trust Staff % fill</w:t>
                  </w:r>
                </w:p>
              </w:tc>
              <w:tc>
                <w:tcPr>
                  <w:tcW w:w="1241"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sidRPr="003C7883">
                    <w:rPr>
                      <w:rFonts w:ascii="Arial" w:eastAsia="Times New Roman" w:hAnsi="Arial" w:cs="Arial"/>
                      <w:b/>
                      <w:lang w:eastAsia="en-GB"/>
                    </w:rPr>
                    <w:t>Red flag shifts</w:t>
                  </w:r>
                </w:p>
              </w:tc>
              <w:tc>
                <w:tcPr>
                  <w:tcW w:w="1241" w:type="dxa"/>
                  <w:shd w:val="clear" w:color="auto" w:fill="DBE5F1"/>
                </w:tcPr>
                <w:p w:rsidR="00186B5A" w:rsidRPr="003C7883" w:rsidRDefault="00186B5A" w:rsidP="00186B5A">
                  <w:pPr>
                    <w:spacing w:after="0" w:line="240" w:lineRule="auto"/>
                    <w:jc w:val="center"/>
                    <w:rPr>
                      <w:rFonts w:ascii="Arial" w:eastAsia="Times New Roman" w:hAnsi="Arial" w:cs="Arial"/>
                      <w:b/>
                      <w:lang w:eastAsia="en-GB"/>
                    </w:rPr>
                  </w:pPr>
                  <w:r>
                    <w:rPr>
                      <w:rFonts w:ascii="Arial" w:eastAsia="Times New Roman" w:hAnsi="Arial" w:cs="Arial"/>
                      <w:b/>
                      <w:lang w:eastAsia="en-GB"/>
                    </w:rPr>
                    <w:t>Incident reports for staffing</w:t>
                  </w:r>
                </w:p>
              </w:tc>
            </w:tr>
            <w:tr w:rsidR="00186B5A" w:rsidRPr="003C7883" w:rsidTr="0080567B">
              <w:trPr>
                <w:trHeight w:val="170"/>
              </w:trPr>
              <w:tc>
                <w:tcPr>
                  <w:tcW w:w="1472" w:type="dxa"/>
                  <w:shd w:val="clear" w:color="auto" w:fill="92D050"/>
                  <w:vAlign w:val="center"/>
                </w:tcPr>
                <w:p w:rsidR="00186B5A" w:rsidRPr="003C7883" w:rsidRDefault="00186B5A" w:rsidP="00186B5A">
                  <w:pPr>
                    <w:spacing w:before="200" w:line="240" w:lineRule="auto"/>
                    <w:jc w:val="center"/>
                    <w:rPr>
                      <w:rFonts w:ascii="Arial" w:eastAsia="Times New Roman" w:hAnsi="Arial" w:cs="Arial"/>
                      <w:b/>
                      <w:bCs/>
                      <w:lang w:eastAsia="en-GB"/>
                    </w:rPr>
                  </w:pPr>
                  <w:r>
                    <w:rPr>
                      <w:rFonts w:ascii="Arial" w:eastAsia="Times New Roman" w:hAnsi="Arial" w:cs="Arial"/>
                      <w:b/>
                      <w:bCs/>
                      <w:lang w:eastAsia="en-GB"/>
                    </w:rPr>
                    <w:t>93.87%</w:t>
                  </w:r>
                </w:p>
              </w:tc>
              <w:tc>
                <w:tcPr>
                  <w:tcW w:w="1553" w:type="dxa"/>
                  <w:shd w:val="clear" w:color="auto" w:fill="92D050"/>
                  <w:vAlign w:val="center"/>
                </w:tcPr>
                <w:p w:rsidR="00186B5A" w:rsidRPr="003C7883" w:rsidRDefault="00186B5A" w:rsidP="00186B5A">
                  <w:pPr>
                    <w:spacing w:before="200" w:line="240" w:lineRule="auto"/>
                    <w:jc w:val="center"/>
                    <w:rPr>
                      <w:rFonts w:ascii="Arial" w:eastAsia="Times New Roman" w:hAnsi="Arial" w:cs="Arial"/>
                      <w:b/>
                      <w:bCs/>
                      <w:lang w:eastAsia="en-GB"/>
                    </w:rPr>
                  </w:pPr>
                  <w:r>
                    <w:rPr>
                      <w:rFonts w:ascii="Arial" w:eastAsia="Times New Roman" w:hAnsi="Arial" w:cs="Arial"/>
                      <w:b/>
                      <w:bCs/>
                      <w:lang w:eastAsia="en-GB"/>
                    </w:rPr>
                    <w:t>98.17%</w:t>
                  </w:r>
                </w:p>
              </w:tc>
              <w:tc>
                <w:tcPr>
                  <w:tcW w:w="1604" w:type="dxa"/>
                  <w:shd w:val="clear" w:color="auto" w:fill="92D050"/>
                  <w:vAlign w:val="center"/>
                </w:tcPr>
                <w:p w:rsidR="00186B5A" w:rsidRPr="003C7883" w:rsidRDefault="00186B5A" w:rsidP="00186B5A">
                  <w:pPr>
                    <w:spacing w:before="200" w:line="240" w:lineRule="auto"/>
                    <w:rPr>
                      <w:rFonts w:ascii="Arial" w:eastAsia="Times New Roman" w:hAnsi="Arial" w:cs="Arial"/>
                      <w:b/>
                      <w:bCs/>
                      <w:lang w:eastAsia="en-GB"/>
                    </w:rPr>
                  </w:pPr>
                  <w:r>
                    <w:rPr>
                      <w:rFonts w:ascii="Arial" w:eastAsia="Times New Roman" w:hAnsi="Arial" w:cs="Arial"/>
                      <w:b/>
                      <w:bCs/>
                      <w:lang w:eastAsia="en-GB"/>
                    </w:rPr>
                    <w:t>252.98%</w:t>
                  </w:r>
                </w:p>
              </w:tc>
              <w:tc>
                <w:tcPr>
                  <w:tcW w:w="1605" w:type="dxa"/>
                  <w:shd w:val="clear" w:color="auto" w:fill="92D050"/>
                  <w:vAlign w:val="center"/>
                </w:tcPr>
                <w:p w:rsidR="00186B5A" w:rsidRPr="003C7883" w:rsidRDefault="00186B5A" w:rsidP="00186B5A">
                  <w:pPr>
                    <w:spacing w:before="200" w:line="240" w:lineRule="auto"/>
                    <w:rPr>
                      <w:rFonts w:ascii="Arial" w:eastAsia="Times New Roman" w:hAnsi="Arial" w:cs="Arial"/>
                      <w:b/>
                      <w:bCs/>
                      <w:lang w:eastAsia="en-GB"/>
                    </w:rPr>
                  </w:pPr>
                  <w:r>
                    <w:rPr>
                      <w:rFonts w:ascii="Arial" w:eastAsia="Times New Roman" w:hAnsi="Arial" w:cs="Arial"/>
                      <w:b/>
                      <w:bCs/>
                      <w:lang w:eastAsia="en-GB"/>
                    </w:rPr>
                    <w:t>275.01%</w:t>
                  </w:r>
                </w:p>
              </w:tc>
              <w:tc>
                <w:tcPr>
                  <w:tcW w:w="1241" w:type="dxa"/>
                  <w:shd w:val="clear" w:color="auto" w:fill="92D050"/>
                </w:tcPr>
                <w:p w:rsidR="00186B5A" w:rsidRPr="003C7883" w:rsidRDefault="00186B5A" w:rsidP="00186B5A">
                  <w:pPr>
                    <w:spacing w:before="200" w:line="240" w:lineRule="auto"/>
                    <w:jc w:val="center"/>
                    <w:rPr>
                      <w:rFonts w:ascii="Arial" w:eastAsia="Times New Roman" w:hAnsi="Arial" w:cs="Arial"/>
                      <w:b/>
                      <w:bCs/>
                      <w:lang w:eastAsia="en-GB"/>
                    </w:rPr>
                  </w:pPr>
                  <w:r>
                    <w:rPr>
                      <w:rFonts w:ascii="Arial" w:eastAsia="Times New Roman" w:hAnsi="Arial" w:cs="Arial"/>
                      <w:b/>
                      <w:bCs/>
                      <w:lang w:eastAsia="en-GB"/>
                    </w:rPr>
                    <w:t>84.90%</w:t>
                  </w:r>
                </w:p>
              </w:tc>
              <w:tc>
                <w:tcPr>
                  <w:tcW w:w="1241" w:type="dxa"/>
                  <w:shd w:val="clear" w:color="auto" w:fill="92D050"/>
                </w:tcPr>
                <w:p w:rsidR="00186B5A" w:rsidRPr="003C7883" w:rsidRDefault="00186B5A" w:rsidP="00186B5A">
                  <w:pPr>
                    <w:spacing w:before="200" w:line="240" w:lineRule="auto"/>
                    <w:jc w:val="center"/>
                    <w:rPr>
                      <w:rFonts w:ascii="Arial" w:eastAsia="Times New Roman" w:hAnsi="Arial" w:cs="Arial"/>
                      <w:b/>
                      <w:bCs/>
                      <w:lang w:eastAsia="en-GB"/>
                    </w:rPr>
                  </w:pPr>
                  <w:r w:rsidRPr="003C7883">
                    <w:rPr>
                      <w:rFonts w:ascii="Arial" w:eastAsia="Times New Roman" w:hAnsi="Arial" w:cs="Arial"/>
                      <w:b/>
                      <w:bCs/>
                      <w:lang w:eastAsia="en-GB"/>
                    </w:rPr>
                    <w:t>121 (3% of shifts)</w:t>
                  </w:r>
                </w:p>
              </w:tc>
              <w:tc>
                <w:tcPr>
                  <w:tcW w:w="1241" w:type="dxa"/>
                  <w:shd w:val="clear" w:color="auto" w:fill="92D050"/>
                </w:tcPr>
                <w:p w:rsidR="00186B5A" w:rsidRDefault="00186B5A" w:rsidP="00186B5A">
                  <w:pPr>
                    <w:spacing w:before="200" w:line="240" w:lineRule="auto"/>
                    <w:jc w:val="center"/>
                    <w:rPr>
                      <w:rFonts w:ascii="Arial" w:eastAsia="Times New Roman" w:hAnsi="Arial" w:cs="Arial"/>
                      <w:b/>
                      <w:bCs/>
                      <w:lang w:eastAsia="en-GB"/>
                    </w:rPr>
                  </w:pPr>
                  <w:r>
                    <w:rPr>
                      <w:rFonts w:ascii="Arial" w:eastAsia="Times New Roman" w:hAnsi="Arial" w:cs="Arial"/>
                      <w:b/>
                      <w:bCs/>
                      <w:lang w:eastAsia="en-GB"/>
                    </w:rPr>
                    <w:t>27</w:t>
                  </w:r>
                </w:p>
              </w:tc>
            </w:tr>
          </w:tbl>
          <w:p w:rsidR="001D4C16" w:rsidRPr="003C7883" w:rsidRDefault="001D4C16" w:rsidP="001D4C16">
            <w:pPr>
              <w:pStyle w:val="ListParagraph"/>
              <w:ind w:left="1800"/>
              <w:rPr>
                <w:iCs/>
              </w:rPr>
            </w:pPr>
          </w:p>
          <w:p w:rsidR="00186B5A" w:rsidRDefault="00186B5A" w:rsidP="00692BA3">
            <w:pPr>
              <w:jc w:val="both"/>
              <w:rPr>
                <w:rFonts w:ascii="Arial" w:eastAsia="Times New Roman" w:hAnsi="Arial" w:cs="Arial"/>
                <w:b/>
                <w:lang w:eastAsia="en-GB"/>
              </w:rPr>
            </w:pPr>
          </w:p>
          <w:p w:rsidR="00186B5A" w:rsidRDefault="00186B5A" w:rsidP="00692BA3">
            <w:pPr>
              <w:jc w:val="both"/>
              <w:rPr>
                <w:rFonts w:ascii="Arial" w:eastAsia="Times New Roman" w:hAnsi="Arial" w:cs="Arial"/>
                <w:b/>
                <w:lang w:eastAsia="en-GB"/>
              </w:rPr>
            </w:pPr>
          </w:p>
          <w:p w:rsidR="00186B5A" w:rsidRDefault="00186B5A" w:rsidP="00692BA3">
            <w:pPr>
              <w:jc w:val="both"/>
              <w:rPr>
                <w:rFonts w:ascii="Arial" w:eastAsia="Times New Roman" w:hAnsi="Arial" w:cs="Arial"/>
                <w:b/>
                <w:lang w:eastAsia="en-GB"/>
              </w:rPr>
            </w:pPr>
          </w:p>
          <w:p w:rsidR="00186B5A" w:rsidRDefault="00186B5A" w:rsidP="00692BA3">
            <w:pPr>
              <w:jc w:val="both"/>
              <w:rPr>
                <w:rFonts w:ascii="Arial" w:eastAsia="Times New Roman" w:hAnsi="Arial" w:cs="Arial"/>
                <w:b/>
                <w:lang w:eastAsia="en-GB"/>
              </w:rPr>
            </w:pPr>
          </w:p>
          <w:p w:rsidR="00186B5A" w:rsidRDefault="00186B5A" w:rsidP="00692BA3">
            <w:pPr>
              <w:jc w:val="both"/>
              <w:rPr>
                <w:rFonts w:ascii="Arial" w:eastAsia="Times New Roman" w:hAnsi="Arial" w:cs="Arial"/>
                <w:b/>
                <w:lang w:eastAsia="en-GB"/>
              </w:rPr>
            </w:pPr>
          </w:p>
          <w:p w:rsidR="00186B5A" w:rsidRDefault="00186B5A" w:rsidP="00692BA3">
            <w:pPr>
              <w:jc w:val="both"/>
              <w:rPr>
                <w:rFonts w:ascii="Arial" w:eastAsia="Times New Roman" w:hAnsi="Arial" w:cs="Arial"/>
                <w:b/>
                <w:lang w:eastAsia="en-GB"/>
              </w:rPr>
            </w:pPr>
          </w:p>
          <w:p w:rsidR="00186B5A" w:rsidRDefault="00186B5A" w:rsidP="00692BA3">
            <w:pPr>
              <w:jc w:val="both"/>
              <w:rPr>
                <w:rFonts w:ascii="Arial" w:eastAsia="Times New Roman" w:hAnsi="Arial" w:cs="Arial"/>
                <w:b/>
                <w:lang w:eastAsia="en-GB"/>
              </w:rPr>
            </w:pPr>
          </w:p>
          <w:p w:rsidR="00692BA3" w:rsidRPr="009708C2" w:rsidRDefault="00692BA3" w:rsidP="00692BA3">
            <w:pPr>
              <w:jc w:val="both"/>
              <w:rPr>
                <w:rFonts w:ascii="Arial" w:hAnsi="Arial" w:cs="Arial"/>
              </w:rPr>
            </w:pPr>
            <w:r w:rsidRPr="009708C2">
              <w:rPr>
                <w:rFonts w:ascii="Arial" w:eastAsia="Times New Roman" w:hAnsi="Arial" w:cs="Arial"/>
                <w:b/>
                <w:lang w:eastAsia="en-GB"/>
              </w:rPr>
              <w:t xml:space="preserve">Table 2 RN/HCA fill rates for </w:t>
            </w:r>
            <w:r w:rsidR="00480410">
              <w:rPr>
                <w:rFonts w:ascii="Arial" w:eastAsia="Times New Roman" w:hAnsi="Arial" w:cs="Arial"/>
                <w:b/>
                <w:lang w:eastAsia="en-GB"/>
              </w:rPr>
              <w:t xml:space="preserve">July 2018 </w:t>
            </w:r>
            <w:r w:rsidRPr="009708C2">
              <w:rPr>
                <w:rFonts w:ascii="Arial" w:eastAsia="Times New Roman" w:hAnsi="Arial" w:cs="Arial"/>
                <w:b/>
                <w:lang w:eastAsia="en-GB"/>
              </w:rPr>
              <w:t>days and nights – Overall Trust position (Inpatient)</w:t>
            </w:r>
          </w:p>
          <w:p w:rsidR="00692BA3" w:rsidRPr="003C7883" w:rsidRDefault="00692BA3" w:rsidP="00692BA3">
            <w:pPr>
              <w:jc w:val="both"/>
              <w:rPr>
                <w:rFonts w:ascii="Arial" w:eastAsia="Times New Roman" w:hAnsi="Arial" w:cs="Arial"/>
                <w:b/>
                <w:color w:val="FF0000"/>
                <w:lang w:eastAsia="en-GB"/>
              </w:rPr>
            </w:pPr>
          </w:p>
          <w:tbl>
            <w:tblPr>
              <w:tblpPr w:leftFromText="180" w:rightFromText="180" w:vertAnchor="text" w:horzAnchor="margin" w:tblpY="62"/>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553"/>
              <w:gridCol w:w="1604"/>
              <w:gridCol w:w="1605"/>
              <w:gridCol w:w="1241"/>
              <w:gridCol w:w="1241"/>
              <w:gridCol w:w="1241"/>
            </w:tblGrid>
            <w:tr w:rsidR="00186B5A" w:rsidRPr="003C7883" w:rsidTr="00186B5A">
              <w:tc>
                <w:tcPr>
                  <w:tcW w:w="1472"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sidRPr="009708C2">
                    <w:rPr>
                      <w:rFonts w:ascii="Arial" w:eastAsia="Times New Roman" w:hAnsi="Arial" w:cs="Arial"/>
                      <w:b/>
                      <w:lang w:eastAsia="en-GB"/>
                    </w:rPr>
                    <w:t>RN</w:t>
                  </w:r>
                  <w:r>
                    <w:rPr>
                      <w:rFonts w:ascii="Arial" w:eastAsia="Times New Roman" w:hAnsi="Arial" w:cs="Arial"/>
                      <w:b/>
                      <w:lang w:eastAsia="en-GB"/>
                    </w:rPr>
                    <w:t>/RM</w:t>
                  </w:r>
                  <w:r w:rsidRPr="009708C2">
                    <w:rPr>
                      <w:rFonts w:ascii="Arial" w:eastAsia="Times New Roman" w:hAnsi="Arial" w:cs="Arial"/>
                      <w:b/>
                      <w:lang w:eastAsia="en-GB"/>
                    </w:rPr>
                    <w:t xml:space="preserve"> day</w:t>
                  </w:r>
                </w:p>
              </w:tc>
              <w:tc>
                <w:tcPr>
                  <w:tcW w:w="1553"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sidRPr="009708C2">
                    <w:rPr>
                      <w:rFonts w:ascii="Arial" w:eastAsia="Times New Roman" w:hAnsi="Arial" w:cs="Arial"/>
                      <w:b/>
                      <w:lang w:eastAsia="en-GB"/>
                    </w:rPr>
                    <w:t>RN</w:t>
                  </w:r>
                  <w:r>
                    <w:rPr>
                      <w:rFonts w:ascii="Arial" w:eastAsia="Times New Roman" w:hAnsi="Arial" w:cs="Arial"/>
                      <w:b/>
                      <w:lang w:eastAsia="en-GB"/>
                    </w:rPr>
                    <w:t>/RM</w:t>
                  </w:r>
                  <w:r w:rsidRPr="009708C2">
                    <w:rPr>
                      <w:rFonts w:ascii="Arial" w:eastAsia="Times New Roman" w:hAnsi="Arial" w:cs="Arial"/>
                      <w:b/>
                      <w:lang w:eastAsia="en-GB"/>
                    </w:rPr>
                    <w:t xml:space="preserve"> night</w:t>
                  </w:r>
                </w:p>
              </w:tc>
              <w:tc>
                <w:tcPr>
                  <w:tcW w:w="1604"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Pr>
                      <w:rFonts w:ascii="Arial" w:eastAsia="Times New Roman" w:hAnsi="Arial" w:cs="Arial"/>
                      <w:b/>
                      <w:lang w:eastAsia="en-GB"/>
                    </w:rPr>
                    <w:t>Non registered (HCA)</w:t>
                  </w:r>
                  <w:r w:rsidRPr="009708C2">
                    <w:rPr>
                      <w:rFonts w:ascii="Arial" w:eastAsia="Times New Roman" w:hAnsi="Arial" w:cs="Arial"/>
                      <w:b/>
                      <w:lang w:eastAsia="en-GB"/>
                    </w:rPr>
                    <w:t xml:space="preserve"> day</w:t>
                  </w:r>
                </w:p>
              </w:tc>
              <w:tc>
                <w:tcPr>
                  <w:tcW w:w="1605"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Pr>
                      <w:rFonts w:ascii="Arial" w:eastAsia="Times New Roman" w:hAnsi="Arial" w:cs="Arial"/>
                      <w:b/>
                      <w:lang w:eastAsia="en-GB"/>
                    </w:rPr>
                    <w:t>Non registered (HCA)</w:t>
                  </w:r>
                  <w:r w:rsidRPr="009708C2">
                    <w:rPr>
                      <w:rFonts w:ascii="Arial" w:eastAsia="Times New Roman" w:hAnsi="Arial" w:cs="Arial"/>
                      <w:b/>
                      <w:lang w:eastAsia="en-GB"/>
                    </w:rPr>
                    <w:t xml:space="preserve"> night</w:t>
                  </w:r>
                </w:p>
              </w:tc>
              <w:tc>
                <w:tcPr>
                  <w:tcW w:w="1241"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sidRPr="009708C2">
                    <w:rPr>
                      <w:rFonts w:ascii="Arial" w:eastAsia="Times New Roman" w:hAnsi="Arial" w:cs="Arial"/>
                      <w:b/>
                      <w:lang w:eastAsia="en-GB"/>
                    </w:rPr>
                    <w:t>Trust Staff % fill</w:t>
                  </w:r>
                </w:p>
              </w:tc>
              <w:tc>
                <w:tcPr>
                  <w:tcW w:w="1241"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sidRPr="009708C2">
                    <w:rPr>
                      <w:rFonts w:ascii="Arial" w:eastAsia="Times New Roman" w:hAnsi="Arial" w:cs="Arial"/>
                      <w:b/>
                      <w:lang w:eastAsia="en-GB"/>
                    </w:rPr>
                    <w:t>Red flag shifts</w:t>
                  </w:r>
                </w:p>
              </w:tc>
              <w:tc>
                <w:tcPr>
                  <w:tcW w:w="1241" w:type="dxa"/>
                  <w:shd w:val="clear" w:color="auto" w:fill="DBE5F1"/>
                </w:tcPr>
                <w:p w:rsidR="00186B5A" w:rsidRPr="009708C2" w:rsidRDefault="00186B5A" w:rsidP="00186B5A">
                  <w:pPr>
                    <w:spacing w:after="0" w:line="240" w:lineRule="auto"/>
                    <w:jc w:val="center"/>
                    <w:rPr>
                      <w:rFonts w:ascii="Arial" w:eastAsia="Times New Roman" w:hAnsi="Arial" w:cs="Arial"/>
                      <w:b/>
                      <w:lang w:eastAsia="en-GB"/>
                    </w:rPr>
                  </w:pPr>
                  <w:r>
                    <w:rPr>
                      <w:rFonts w:ascii="Arial" w:eastAsia="Times New Roman" w:hAnsi="Arial" w:cs="Arial"/>
                      <w:b/>
                      <w:lang w:eastAsia="en-GB"/>
                    </w:rPr>
                    <w:t>Incident reports for staffing</w:t>
                  </w:r>
                </w:p>
              </w:tc>
            </w:tr>
            <w:tr w:rsidR="00186B5A" w:rsidRPr="003C7883" w:rsidTr="00186B5A">
              <w:trPr>
                <w:trHeight w:val="170"/>
              </w:trPr>
              <w:tc>
                <w:tcPr>
                  <w:tcW w:w="1472" w:type="dxa"/>
                  <w:shd w:val="clear" w:color="auto" w:fill="92D050"/>
                  <w:vAlign w:val="center"/>
                </w:tcPr>
                <w:p w:rsidR="00186B5A" w:rsidRPr="009708C2" w:rsidRDefault="00186B5A" w:rsidP="00186B5A">
                  <w:pPr>
                    <w:spacing w:before="200" w:line="240" w:lineRule="auto"/>
                    <w:jc w:val="center"/>
                    <w:rPr>
                      <w:rFonts w:ascii="Arial" w:eastAsia="Times New Roman" w:hAnsi="Arial" w:cs="Arial"/>
                      <w:b/>
                      <w:bCs/>
                      <w:lang w:eastAsia="en-GB"/>
                    </w:rPr>
                  </w:pPr>
                  <w:r w:rsidRPr="009708C2">
                    <w:rPr>
                      <w:rFonts w:ascii="Arial" w:eastAsia="Times New Roman" w:hAnsi="Arial" w:cs="Arial"/>
                      <w:b/>
                      <w:bCs/>
                      <w:lang w:eastAsia="en-GB"/>
                    </w:rPr>
                    <w:t>93.18%</w:t>
                  </w:r>
                </w:p>
              </w:tc>
              <w:tc>
                <w:tcPr>
                  <w:tcW w:w="1553" w:type="dxa"/>
                  <w:shd w:val="clear" w:color="auto" w:fill="92D050"/>
                  <w:vAlign w:val="center"/>
                </w:tcPr>
                <w:p w:rsidR="00186B5A" w:rsidRPr="009708C2" w:rsidRDefault="00186B5A" w:rsidP="00186B5A">
                  <w:pPr>
                    <w:spacing w:before="200" w:line="240" w:lineRule="auto"/>
                    <w:jc w:val="center"/>
                    <w:rPr>
                      <w:rFonts w:ascii="Arial" w:eastAsia="Times New Roman" w:hAnsi="Arial" w:cs="Arial"/>
                      <w:b/>
                      <w:bCs/>
                      <w:lang w:eastAsia="en-GB"/>
                    </w:rPr>
                  </w:pPr>
                  <w:r w:rsidRPr="009708C2">
                    <w:rPr>
                      <w:rFonts w:ascii="Arial" w:eastAsia="Times New Roman" w:hAnsi="Arial" w:cs="Arial"/>
                      <w:b/>
                      <w:bCs/>
                      <w:lang w:eastAsia="en-GB"/>
                    </w:rPr>
                    <w:t>96.66%</w:t>
                  </w:r>
                </w:p>
              </w:tc>
              <w:tc>
                <w:tcPr>
                  <w:tcW w:w="1604" w:type="dxa"/>
                  <w:shd w:val="clear" w:color="auto" w:fill="92D050"/>
                  <w:vAlign w:val="center"/>
                </w:tcPr>
                <w:p w:rsidR="00186B5A" w:rsidRPr="009708C2" w:rsidRDefault="00186B5A" w:rsidP="00186B5A">
                  <w:pPr>
                    <w:spacing w:before="200" w:line="240" w:lineRule="auto"/>
                    <w:jc w:val="center"/>
                    <w:rPr>
                      <w:rFonts w:ascii="Arial" w:eastAsia="Times New Roman" w:hAnsi="Arial" w:cs="Arial"/>
                      <w:b/>
                      <w:bCs/>
                      <w:lang w:eastAsia="en-GB"/>
                    </w:rPr>
                  </w:pPr>
                  <w:r w:rsidRPr="009708C2">
                    <w:rPr>
                      <w:rFonts w:ascii="Arial" w:eastAsia="Times New Roman" w:hAnsi="Arial" w:cs="Arial"/>
                      <w:b/>
                      <w:bCs/>
                      <w:lang w:eastAsia="en-GB"/>
                    </w:rPr>
                    <w:t>182.26%</w:t>
                  </w:r>
                </w:p>
              </w:tc>
              <w:tc>
                <w:tcPr>
                  <w:tcW w:w="1605" w:type="dxa"/>
                  <w:shd w:val="clear" w:color="auto" w:fill="92D050"/>
                  <w:vAlign w:val="center"/>
                </w:tcPr>
                <w:p w:rsidR="00186B5A" w:rsidRPr="009708C2" w:rsidRDefault="00186B5A" w:rsidP="00186B5A">
                  <w:pPr>
                    <w:spacing w:before="200" w:line="240" w:lineRule="auto"/>
                    <w:jc w:val="center"/>
                    <w:rPr>
                      <w:rFonts w:ascii="Arial" w:eastAsia="Times New Roman" w:hAnsi="Arial" w:cs="Arial"/>
                      <w:b/>
                      <w:bCs/>
                      <w:lang w:eastAsia="en-GB"/>
                    </w:rPr>
                  </w:pPr>
                  <w:r w:rsidRPr="009708C2">
                    <w:rPr>
                      <w:rFonts w:ascii="Arial" w:eastAsia="Times New Roman" w:hAnsi="Arial" w:cs="Arial"/>
                      <w:b/>
                      <w:bCs/>
                      <w:lang w:eastAsia="en-GB"/>
                    </w:rPr>
                    <w:t>97.53%</w:t>
                  </w:r>
                </w:p>
              </w:tc>
              <w:tc>
                <w:tcPr>
                  <w:tcW w:w="1241" w:type="dxa"/>
                  <w:shd w:val="clear" w:color="auto" w:fill="92D050"/>
                </w:tcPr>
                <w:p w:rsidR="00186B5A" w:rsidRPr="009708C2" w:rsidRDefault="00186B5A" w:rsidP="0080567B">
                  <w:pPr>
                    <w:spacing w:before="200" w:line="240" w:lineRule="auto"/>
                    <w:rPr>
                      <w:rFonts w:ascii="Arial" w:eastAsia="Times New Roman" w:hAnsi="Arial" w:cs="Arial"/>
                      <w:b/>
                      <w:bCs/>
                      <w:lang w:eastAsia="en-GB"/>
                    </w:rPr>
                  </w:pPr>
                  <w:r w:rsidRPr="009708C2">
                    <w:rPr>
                      <w:rFonts w:ascii="Arial" w:eastAsia="Times New Roman" w:hAnsi="Arial" w:cs="Arial"/>
                      <w:b/>
                      <w:bCs/>
                      <w:lang w:eastAsia="en-GB"/>
                    </w:rPr>
                    <w:t>83%</w:t>
                  </w:r>
                </w:p>
              </w:tc>
              <w:tc>
                <w:tcPr>
                  <w:tcW w:w="1241" w:type="dxa"/>
                  <w:shd w:val="clear" w:color="auto" w:fill="92D050"/>
                </w:tcPr>
                <w:p w:rsidR="00186B5A" w:rsidRPr="009708C2" w:rsidRDefault="00186B5A" w:rsidP="00186B5A">
                  <w:pPr>
                    <w:spacing w:before="200" w:line="240" w:lineRule="auto"/>
                    <w:jc w:val="center"/>
                    <w:rPr>
                      <w:rFonts w:ascii="Arial" w:eastAsia="Times New Roman" w:hAnsi="Arial" w:cs="Arial"/>
                      <w:b/>
                      <w:bCs/>
                      <w:lang w:eastAsia="en-GB"/>
                    </w:rPr>
                  </w:pPr>
                  <w:r>
                    <w:rPr>
                      <w:rFonts w:ascii="Arial" w:eastAsia="Times New Roman" w:hAnsi="Arial" w:cs="Arial"/>
                      <w:b/>
                      <w:bCs/>
                      <w:lang w:eastAsia="en-GB"/>
                    </w:rPr>
                    <w:t>196 (5% of shifts)</w:t>
                  </w:r>
                </w:p>
              </w:tc>
              <w:tc>
                <w:tcPr>
                  <w:tcW w:w="1241" w:type="dxa"/>
                  <w:shd w:val="clear" w:color="auto" w:fill="92D050"/>
                </w:tcPr>
                <w:p w:rsidR="00186B5A" w:rsidRPr="009708C2" w:rsidRDefault="00FA1879" w:rsidP="00FA1879">
                  <w:pPr>
                    <w:spacing w:before="200" w:line="240" w:lineRule="auto"/>
                    <w:jc w:val="both"/>
                    <w:rPr>
                      <w:rFonts w:ascii="Arial" w:eastAsia="Times New Roman" w:hAnsi="Arial" w:cs="Arial"/>
                      <w:b/>
                      <w:bCs/>
                      <w:lang w:eastAsia="en-GB"/>
                    </w:rPr>
                  </w:pPr>
                  <w:r>
                    <w:rPr>
                      <w:rFonts w:ascii="Arial" w:eastAsia="Times New Roman" w:hAnsi="Arial" w:cs="Arial"/>
                      <w:b/>
                      <w:bCs/>
                      <w:lang w:eastAsia="en-GB"/>
                    </w:rPr>
                    <w:t xml:space="preserve">     </w:t>
                  </w:r>
                  <w:r w:rsidR="00186B5A">
                    <w:rPr>
                      <w:rFonts w:ascii="Arial" w:eastAsia="Times New Roman" w:hAnsi="Arial" w:cs="Arial"/>
                      <w:b/>
                      <w:bCs/>
                      <w:lang w:eastAsia="en-GB"/>
                    </w:rPr>
                    <w:t>20</w:t>
                  </w:r>
                </w:p>
              </w:tc>
            </w:tr>
          </w:tbl>
          <w:p w:rsidR="00692BA3" w:rsidRPr="003C7883" w:rsidRDefault="00692BA3" w:rsidP="00692BA3">
            <w:pPr>
              <w:jc w:val="both"/>
              <w:rPr>
                <w:rFonts w:ascii="Arial" w:hAnsi="Arial" w:cs="Arial"/>
                <w:color w:val="FF0000"/>
              </w:rPr>
            </w:pPr>
          </w:p>
          <w:p w:rsidR="00186B5A" w:rsidRDefault="00186B5A" w:rsidP="00A604B6">
            <w:pPr>
              <w:rPr>
                <w:rFonts w:ascii="Arial" w:hAnsi="Arial" w:cs="Arial"/>
              </w:rPr>
            </w:pPr>
          </w:p>
          <w:p w:rsidR="00186B5A" w:rsidRDefault="00186B5A" w:rsidP="00A604B6">
            <w:pPr>
              <w:rPr>
                <w:rFonts w:ascii="Arial" w:hAnsi="Arial" w:cs="Arial"/>
              </w:rPr>
            </w:pPr>
          </w:p>
          <w:p w:rsidR="00186B5A" w:rsidRDefault="00186B5A" w:rsidP="00A604B6">
            <w:pPr>
              <w:rPr>
                <w:rFonts w:ascii="Arial" w:hAnsi="Arial" w:cs="Arial"/>
              </w:rPr>
            </w:pPr>
          </w:p>
          <w:p w:rsidR="00186B5A" w:rsidRDefault="00186B5A" w:rsidP="00A604B6">
            <w:pPr>
              <w:rPr>
                <w:rFonts w:ascii="Arial" w:hAnsi="Arial" w:cs="Arial"/>
              </w:rPr>
            </w:pPr>
          </w:p>
          <w:p w:rsidR="00186B5A" w:rsidRDefault="00186B5A" w:rsidP="00A604B6">
            <w:pPr>
              <w:rPr>
                <w:rFonts w:ascii="Arial" w:hAnsi="Arial" w:cs="Arial"/>
              </w:rPr>
            </w:pPr>
          </w:p>
          <w:p w:rsidR="00186B5A" w:rsidRDefault="00186B5A" w:rsidP="00A604B6">
            <w:pPr>
              <w:rPr>
                <w:rFonts w:ascii="Arial" w:hAnsi="Arial" w:cs="Arial"/>
              </w:rPr>
            </w:pPr>
          </w:p>
          <w:p w:rsidR="00186B5A" w:rsidRDefault="00186B5A" w:rsidP="00A604B6">
            <w:pPr>
              <w:rPr>
                <w:rFonts w:ascii="Arial" w:hAnsi="Arial" w:cs="Arial"/>
              </w:rPr>
            </w:pPr>
          </w:p>
          <w:p w:rsidR="00186B5A" w:rsidRDefault="00186B5A" w:rsidP="00A604B6">
            <w:pPr>
              <w:rPr>
                <w:rFonts w:ascii="Arial" w:hAnsi="Arial" w:cs="Arial"/>
              </w:rPr>
            </w:pPr>
          </w:p>
          <w:p w:rsidR="005247CF" w:rsidRDefault="005247CF" w:rsidP="00A604B6">
            <w:pPr>
              <w:rPr>
                <w:rFonts w:ascii="Arial" w:hAnsi="Arial" w:cs="Arial"/>
              </w:rPr>
            </w:pPr>
            <w:r>
              <w:rPr>
                <w:rFonts w:ascii="Arial" w:hAnsi="Arial" w:cs="Arial"/>
              </w:rPr>
              <w:t>Appendix 1 and 2 provides the safer staffing data submitted to NHSI.</w:t>
            </w:r>
          </w:p>
          <w:p w:rsidR="005247CF" w:rsidRDefault="005247CF" w:rsidP="00A604B6">
            <w:pPr>
              <w:rPr>
                <w:rFonts w:ascii="Arial" w:hAnsi="Arial" w:cs="Arial"/>
              </w:rPr>
            </w:pPr>
          </w:p>
          <w:p w:rsidR="000C29BC" w:rsidRDefault="004D250D" w:rsidP="00A604B6">
            <w:pPr>
              <w:rPr>
                <w:rFonts w:ascii="Arial" w:hAnsi="Arial" w:cs="Arial"/>
              </w:rPr>
            </w:pPr>
            <w:r>
              <w:rPr>
                <w:rFonts w:ascii="Arial" w:hAnsi="Arial" w:cs="Arial"/>
              </w:rPr>
              <w:t>The</w:t>
            </w:r>
            <w:r w:rsidR="001D4C16" w:rsidRPr="003C7883">
              <w:rPr>
                <w:rFonts w:ascii="Arial" w:hAnsi="Arial" w:cs="Arial"/>
              </w:rPr>
              <w:t xml:space="preserve"> H</w:t>
            </w:r>
            <w:r>
              <w:rPr>
                <w:rFonts w:ascii="Arial" w:hAnsi="Arial" w:cs="Arial"/>
              </w:rPr>
              <w:t xml:space="preserve">ealth care assistant (HCA) </w:t>
            </w:r>
            <w:r w:rsidR="001D4C16" w:rsidRPr="003C7883">
              <w:rPr>
                <w:rFonts w:ascii="Arial" w:hAnsi="Arial" w:cs="Arial"/>
              </w:rPr>
              <w:t xml:space="preserve">workforce is reported </w:t>
            </w:r>
            <w:r w:rsidR="00480410">
              <w:rPr>
                <w:rFonts w:ascii="Arial" w:hAnsi="Arial" w:cs="Arial"/>
              </w:rPr>
              <w:t>for both June and July to be greater than</w:t>
            </w:r>
            <w:r w:rsidR="00ED2247">
              <w:rPr>
                <w:rFonts w:ascii="Arial" w:hAnsi="Arial" w:cs="Arial"/>
              </w:rPr>
              <w:t xml:space="preserve"> 100</w:t>
            </w:r>
            <w:r w:rsidR="00616200">
              <w:rPr>
                <w:rFonts w:ascii="Arial" w:hAnsi="Arial" w:cs="Arial"/>
              </w:rPr>
              <w:t>%</w:t>
            </w:r>
            <w:r w:rsidR="00480410">
              <w:rPr>
                <w:rFonts w:ascii="Arial" w:hAnsi="Arial" w:cs="Arial"/>
              </w:rPr>
              <w:t>. T</w:t>
            </w:r>
            <w:r w:rsidR="001D4C16" w:rsidRPr="003C7883">
              <w:rPr>
                <w:rFonts w:ascii="Arial" w:hAnsi="Arial" w:cs="Arial"/>
              </w:rPr>
              <w:t xml:space="preserve">his is due to fact that </w:t>
            </w:r>
            <w:r w:rsidR="00DD1F81" w:rsidRPr="003C7883">
              <w:rPr>
                <w:rFonts w:ascii="Arial" w:hAnsi="Arial" w:cs="Arial"/>
              </w:rPr>
              <w:t xml:space="preserve">Laurel CCU </w:t>
            </w:r>
            <w:proofErr w:type="gramStart"/>
            <w:r w:rsidR="00DD1F81" w:rsidRPr="003C7883">
              <w:rPr>
                <w:rFonts w:ascii="Arial" w:hAnsi="Arial" w:cs="Arial"/>
              </w:rPr>
              <w:t>have</w:t>
            </w:r>
            <w:proofErr w:type="gramEnd"/>
            <w:r w:rsidR="00DD1F81" w:rsidRPr="003C7883">
              <w:rPr>
                <w:rFonts w:ascii="Arial" w:hAnsi="Arial" w:cs="Arial"/>
              </w:rPr>
              <w:t xml:space="preserve"> booked HCA’s against a planned HCA requirement of 0%.</w:t>
            </w:r>
            <w:r w:rsidR="00A604B6">
              <w:rPr>
                <w:rFonts w:ascii="Arial" w:hAnsi="Arial" w:cs="Arial"/>
              </w:rPr>
              <w:t xml:space="preserve"> </w:t>
            </w:r>
            <w:r w:rsidR="003E3D21" w:rsidRPr="003C7883">
              <w:rPr>
                <w:rFonts w:ascii="Arial" w:hAnsi="Arial" w:cs="Arial"/>
              </w:rPr>
              <w:t xml:space="preserve">HCA’s are utilised to </w:t>
            </w:r>
            <w:r w:rsidR="001D4C16" w:rsidRPr="003C7883">
              <w:rPr>
                <w:rFonts w:ascii="Arial" w:hAnsi="Arial" w:cs="Arial"/>
              </w:rPr>
              <w:t xml:space="preserve">support patient care where there were times that qualified </w:t>
            </w:r>
            <w:r w:rsidR="003E3D21" w:rsidRPr="003C7883">
              <w:rPr>
                <w:rFonts w:ascii="Arial" w:hAnsi="Arial" w:cs="Arial"/>
              </w:rPr>
              <w:t xml:space="preserve">staffing </w:t>
            </w:r>
            <w:r w:rsidR="001D4C16" w:rsidRPr="003C7883">
              <w:rPr>
                <w:rFonts w:ascii="Arial" w:hAnsi="Arial" w:cs="Arial"/>
              </w:rPr>
              <w:t>numbers were reduced.  On these occasions an assessment of patient needs occurs to determine</w:t>
            </w:r>
            <w:r>
              <w:rPr>
                <w:rFonts w:ascii="Arial" w:hAnsi="Arial" w:cs="Arial"/>
              </w:rPr>
              <w:t xml:space="preserve"> that there were</w:t>
            </w:r>
            <w:r w:rsidR="001C2E45" w:rsidRPr="003C7883">
              <w:rPr>
                <w:rFonts w:ascii="Arial" w:hAnsi="Arial" w:cs="Arial"/>
              </w:rPr>
              <w:t xml:space="preserve"> </w:t>
            </w:r>
            <w:r w:rsidR="001D4C16" w:rsidRPr="003C7883">
              <w:rPr>
                <w:rFonts w:ascii="Arial" w:hAnsi="Arial" w:cs="Arial"/>
              </w:rPr>
              <w:t xml:space="preserve">appropriate skills available </w:t>
            </w:r>
            <w:r w:rsidR="001C2E45" w:rsidRPr="003C7883">
              <w:rPr>
                <w:rFonts w:ascii="Arial" w:hAnsi="Arial" w:cs="Arial"/>
              </w:rPr>
              <w:t xml:space="preserve">per </w:t>
            </w:r>
            <w:r w:rsidR="001D4C16" w:rsidRPr="003C7883">
              <w:rPr>
                <w:rFonts w:ascii="Arial" w:hAnsi="Arial" w:cs="Arial"/>
              </w:rPr>
              <w:t xml:space="preserve">shift to meet patient need.  </w:t>
            </w:r>
          </w:p>
          <w:p w:rsidR="00A604B6" w:rsidRDefault="00A604B6" w:rsidP="00A604B6">
            <w:pPr>
              <w:rPr>
                <w:rFonts w:ascii="Arial" w:hAnsi="Arial" w:cs="Arial"/>
              </w:rPr>
            </w:pPr>
          </w:p>
          <w:p w:rsidR="00A604B6" w:rsidRDefault="00A604B6" w:rsidP="00A604B6">
            <w:pPr>
              <w:rPr>
                <w:rFonts w:ascii="Arial" w:hAnsi="Arial" w:cs="Arial"/>
              </w:rPr>
            </w:pPr>
            <w:r>
              <w:rPr>
                <w:rFonts w:ascii="Arial" w:hAnsi="Arial" w:cs="Arial"/>
              </w:rPr>
              <w:t>There has also been a need to book additional HCA to support patient dependency specifically within medical wards due to the risks of patient falls and</w:t>
            </w:r>
            <w:r w:rsidR="00DF56DD">
              <w:rPr>
                <w:rFonts w:ascii="Arial" w:hAnsi="Arial" w:cs="Arial"/>
              </w:rPr>
              <w:t xml:space="preserve"> those</w:t>
            </w:r>
            <w:r>
              <w:rPr>
                <w:rFonts w:ascii="Arial" w:hAnsi="Arial" w:cs="Arial"/>
              </w:rPr>
              <w:t xml:space="preserve"> requiring observations for safety because of </w:t>
            </w:r>
            <w:proofErr w:type="gramStart"/>
            <w:r w:rsidR="00DF56DD">
              <w:rPr>
                <w:rFonts w:ascii="Arial" w:hAnsi="Arial" w:cs="Arial"/>
              </w:rPr>
              <w:t xml:space="preserve">confusion </w:t>
            </w:r>
            <w:r>
              <w:rPr>
                <w:rFonts w:ascii="Arial" w:hAnsi="Arial" w:cs="Arial"/>
              </w:rPr>
              <w:t xml:space="preserve"> states</w:t>
            </w:r>
            <w:proofErr w:type="gramEnd"/>
            <w:r>
              <w:rPr>
                <w:rFonts w:ascii="Arial" w:hAnsi="Arial" w:cs="Arial"/>
              </w:rPr>
              <w:t>/dementia.</w:t>
            </w:r>
          </w:p>
          <w:p w:rsidR="00FA1879" w:rsidRDefault="00FA1879" w:rsidP="00A604B6">
            <w:pPr>
              <w:rPr>
                <w:rFonts w:ascii="Arial" w:hAnsi="Arial" w:cs="Arial"/>
              </w:rPr>
            </w:pPr>
          </w:p>
          <w:p w:rsidR="00FA1879" w:rsidRPr="0080567B" w:rsidRDefault="0060162C" w:rsidP="00FA1879">
            <w:pPr>
              <w:rPr>
                <w:rFonts w:ascii="Arial" w:hAnsi="Arial" w:cs="Arial"/>
              </w:rPr>
            </w:pPr>
            <w:r>
              <w:rPr>
                <w:rFonts w:ascii="Arial" w:hAnsi="Arial" w:cs="Arial"/>
              </w:rPr>
              <w:t>In a</w:t>
            </w:r>
            <w:r w:rsidR="00FA1879" w:rsidRPr="0080567B">
              <w:rPr>
                <w:rFonts w:ascii="Arial" w:hAnsi="Arial" w:cs="Arial"/>
              </w:rPr>
              <w:t>ll cases where there was a reduced staffing to that planned</w:t>
            </w:r>
            <w:r>
              <w:rPr>
                <w:rFonts w:ascii="Arial" w:hAnsi="Arial" w:cs="Arial"/>
              </w:rPr>
              <w:t>, there has</w:t>
            </w:r>
            <w:r w:rsidR="00FA1879" w:rsidRPr="0080567B">
              <w:rPr>
                <w:rFonts w:ascii="Arial" w:hAnsi="Arial" w:cs="Arial"/>
              </w:rPr>
              <w:t xml:space="preserve"> been </w:t>
            </w:r>
            <w:r>
              <w:rPr>
                <w:rFonts w:ascii="Arial" w:hAnsi="Arial" w:cs="Arial"/>
              </w:rPr>
              <w:t>a review</w:t>
            </w:r>
            <w:r w:rsidR="00FA1879" w:rsidRPr="0080567B">
              <w:rPr>
                <w:rFonts w:ascii="Arial" w:hAnsi="Arial" w:cs="Arial"/>
              </w:rPr>
              <w:t xml:space="preserve"> by Divisional Nurse </w:t>
            </w:r>
            <w:r w:rsidR="00FA1879" w:rsidRPr="0080567B">
              <w:rPr>
                <w:rFonts w:ascii="Arial" w:hAnsi="Arial" w:cs="Arial"/>
              </w:rPr>
              <w:lastRenderedPageBreak/>
              <w:t>Directors through appropriate escalation in real time</w:t>
            </w:r>
            <w:r w:rsidR="00DF56DD" w:rsidRPr="0080567B">
              <w:rPr>
                <w:rFonts w:ascii="Arial" w:hAnsi="Arial" w:cs="Arial"/>
              </w:rPr>
              <w:t xml:space="preserve"> on shift declared as red</w:t>
            </w:r>
            <w:r w:rsidR="00FA1879" w:rsidRPr="0080567B">
              <w:rPr>
                <w:rFonts w:ascii="Arial" w:hAnsi="Arial" w:cs="Arial"/>
              </w:rPr>
              <w:t>.  This process has ensured there was oversig</w:t>
            </w:r>
            <w:r>
              <w:rPr>
                <w:rFonts w:ascii="Arial" w:hAnsi="Arial" w:cs="Arial"/>
              </w:rPr>
              <w:t>ht and plans</w:t>
            </w:r>
            <w:r w:rsidR="00FA1879" w:rsidRPr="0080567B">
              <w:rPr>
                <w:rFonts w:ascii="Arial" w:hAnsi="Arial" w:cs="Arial"/>
              </w:rPr>
              <w:t xml:space="preserve"> put into place through </w:t>
            </w:r>
            <w:r>
              <w:rPr>
                <w:rFonts w:ascii="Arial" w:hAnsi="Arial" w:cs="Arial"/>
              </w:rPr>
              <w:t xml:space="preserve">the </w:t>
            </w:r>
            <w:r w:rsidR="00FA1879" w:rsidRPr="0080567B">
              <w:rPr>
                <w:rFonts w:ascii="Arial" w:hAnsi="Arial" w:cs="Arial"/>
              </w:rPr>
              <w:t>use of bank/agency staff as well as staff covering from buddy wards to cover staff breaks.</w:t>
            </w:r>
          </w:p>
          <w:p w:rsidR="00DF56DD" w:rsidRDefault="00DF56DD" w:rsidP="00FA1879"/>
          <w:p w:rsidR="00FA1879" w:rsidRDefault="00DF56DD" w:rsidP="00A604B6">
            <w:pPr>
              <w:rPr>
                <w:rFonts w:ascii="Arial" w:hAnsi="Arial" w:cs="Arial"/>
              </w:rPr>
            </w:pPr>
            <w:r>
              <w:rPr>
                <w:rFonts w:ascii="Arial" w:hAnsi="Arial" w:cs="Arial"/>
              </w:rPr>
              <w:t>A weekly staffing meeting is in place with all divisional nurse directors reporting exceptions, reviewing of health rosters, use of temporary staffing planned and used and hot spot areas that require support due to staff challenges or increased patient dependency.  This meeting has been shown to have been helpful in trust oversight of ward that have been particularly challenging given the summer pressures experienced from increased patient demand for inpatient stays.</w:t>
            </w:r>
          </w:p>
          <w:p w:rsidR="00616200" w:rsidRDefault="00616200" w:rsidP="000C29BC">
            <w:pPr>
              <w:rPr>
                <w:rFonts w:ascii="Arial" w:hAnsi="Arial" w:cs="Arial"/>
                <w:b/>
                <w:i/>
                <w:iCs/>
              </w:rPr>
            </w:pPr>
          </w:p>
          <w:p w:rsidR="00212BFB" w:rsidRPr="0060162C" w:rsidRDefault="00616200" w:rsidP="00FA1879">
            <w:pPr>
              <w:rPr>
                <w:rFonts w:ascii="Arial" w:hAnsi="Arial" w:cs="Arial"/>
                <w:iCs/>
              </w:rPr>
            </w:pPr>
            <w:r w:rsidRPr="0060162C">
              <w:rPr>
                <w:rFonts w:ascii="Arial" w:hAnsi="Arial" w:cs="Arial"/>
                <w:iCs/>
              </w:rPr>
              <w:t>Wards that reported shifts</w:t>
            </w:r>
            <w:r w:rsidR="00212BFB" w:rsidRPr="0060162C">
              <w:rPr>
                <w:rFonts w:ascii="Arial" w:hAnsi="Arial" w:cs="Arial"/>
                <w:iCs/>
              </w:rPr>
              <w:t xml:space="preserve"> </w:t>
            </w:r>
            <w:r w:rsidRPr="0060162C">
              <w:rPr>
                <w:rFonts w:ascii="Arial" w:hAnsi="Arial" w:cs="Arial"/>
                <w:iCs/>
              </w:rPr>
              <w:t xml:space="preserve">below 75% planned </w:t>
            </w:r>
            <w:r w:rsidR="00212BFB" w:rsidRPr="0060162C">
              <w:rPr>
                <w:rFonts w:ascii="Arial" w:hAnsi="Arial" w:cs="Arial"/>
                <w:iCs/>
              </w:rPr>
              <w:t xml:space="preserve">for registered nurses/midwives </w:t>
            </w:r>
            <w:r w:rsidR="00A604B6" w:rsidRPr="0060162C">
              <w:rPr>
                <w:rFonts w:ascii="Arial" w:hAnsi="Arial" w:cs="Arial"/>
                <w:iCs/>
              </w:rPr>
              <w:t xml:space="preserve">that correlate with increased </w:t>
            </w:r>
            <w:r w:rsidR="00FA1879" w:rsidRPr="0060162C">
              <w:rPr>
                <w:rFonts w:ascii="Arial" w:hAnsi="Arial" w:cs="Arial"/>
                <w:iCs/>
              </w:rPr>
              <w:t xml:space="preserve">incident reports </w:t>
            </w:r>
            <w:r w:rsidR="00A604B6" w:rsidRPr="0060162C">
              <w:rPr>
                <w:rFonts w:ascii="Arial" w:hAnsi="Arial" w:cs="Arial"/>
                <w:iCs/>
              </w:rPr>
              <w:t>submitted due to staffing were</w:t>
            </w:r>
            <w:r w:rsidR="00212BFB" w:rsidRPr="0060162C">
              <w:rPr>
                <w:rFonts w:ascii="Arial" w:hAnsi="Arial" w:cs="Arial"/>
                <w:iCs/>
              </w:rPr>
              <w:t>:</w:t>
            </w:r>
          </w:p>
          <w:p w:rsidR="00212BFB" w:rsidRPr="00186B5A" w:rsidRDefault="00A95DF2" w:rsidP="00212BFB">
            <w:pPr>
              <w:pStyle w:val="ListParagraph"/>
              <w:numPr>
                <w:ilvl w:val="0"/>
                <w:numId w:val="18"/>
              </w:numPr>
            </w:pPr>
            <w:r>
              <w:rPr>
                <w:iCs/>
              </w:rPr>
              <w:t xml:space="preserve">Medicine = </w:t>
            </w:r>
            <w:r w:rsidR="00A604B6">
              <w:rPr>
                <w:iCs/>
              </w:rPr>
              <w:t>Avon 2, Ward 12</w:t>
            </w:r>
          </w:p>
          <w:p w:rsidR="00186B5A" w:rsidRPr="00212BFB" w:rsidRDefault="00186B5A" w:rsidP="00212BFB">
            <w:pPr>
              <w:pStyle w:val="ListParagraph"/>
              <w:numPr>
                <w:ilvl w:val="0"/>
                <w:numId w:val="18"/>
              </w:numPr>
            </w:pPr>
            <w:r>
              <w:rPr>
                <w:iCs/>
              </w:rPr>
              <w:t>Urgent Care = ED 2 at Worcester and 1 Alexandra Hospitals</w:t>
            </w:r>
          </w:p>
          <w:p w:rsidR="00212BFB" w:rsidRPr="004A2615" w:rsidRDefault="00212BFB" w:rsidP="00212BFB">
            <w:pPr>
              <w:pStyle w:val="ListParagraph"/>
              <w:numPr>
                <w:ilvl w:val="0"/>
                <w:numId w:val="18"/>
              </w:numPr>
            </w:pPr>
            <w:r>
              <w:rPr>
                <w:iCs/>
              </w:rPr>
              <w:t xml:space="preserve">Surgery = </w:t>
            </w:r>
            <w:r w:rsidR="00186B5A">
              <w:rPr>
                <w:iCs/>
              </w:rPr>
              <w:t>W</w:t>
            </w:r>
            <w:r w:rsidR="004A2615">
              <w:rPr>
                <w:iCs/>
              </w:rPr>
              <w:t>ard 17, 18 and T&amp;O, Beech C, Vascular Unit</w:t>
            </w:r>
          </w:p>
          <w:p w:rsidR="004A2615" w:rsidRPr="00DF56DD" w:rsidRDefault="004A2615" w:rsidP="004A2615">
            <w:pPr>
              <w:pStyle w:val="ListParagraph"/>
              <w:numPr>
                <w:ilvl w:val="0"/>
                <w:numId w:val="18"/>
              </w:numPr>
            </w:pPr>
            <w:r w:rsidRPr="00212BFB">
              <w:rPr>
                <w:iCs/>
              </w:rPr>
              <w:t xml:space="preserve">SCSD = Laurel 3, Silver Ward </w:t>
            </w:r>
          </w:p>
          <w:p w:rsidR="00DF56DD" w:rsidRPr="00DF56DD" w:rsidRDefault="00883751" w:rsidP="004A2615">
            <w:pPr>
              <w:pStyle w:val="ListParagraph"/>
              <w:numPr>
                <w:ilvl w:val="0"/>
                <w:numId w:val="18"/>
              </w:numPr>
            </w:pPr>
            <w:r>
              <w:rPr>
                <w:iCs/>
              </w:rPr>
              <w:t>Women’s</w:t>
            </w:r>
            <w:r w:rsidR="00DF56DD">
              <w:rPr>
                <w:iCs/>
              </w:rPr>
              <w:t xml:space="preserve"> and children: Delivery Suite, </w:t>
            </w:r>
          </w:p>
          <w:p w:rsidR="00DF56DD" w:rsidRPr="00DF56DD" w:rsidRDefault="00DF56DD" w:rsidP="004A2615">
            <w:pPr>
              <w:pStyle w:val="ListParagraph"/>
              <w:numPr>
                <w:ilvl w:val="0"/>
                <w:numId w:val="18"/>
              </w:numPr>
            </w:pPr>
            <w:r>
              <w:rPr>
                <w:iCs/>
              </w:rPr>
              <w:t xml:space="preserve">*there were no reports for </w:t>
            </w:r>
            <w:r w:rsidR="00883751">
              <w:rPr>
                <w:iCs/>
              </w:rPr>
              <w:t>children’s</w:t>
            </w:r>
            <w:r>
              <w:rPr>
                <w:iCs/>
              </w:rPr>
              <w:t xml:space="preserve"> ward.</w:t>
            </w:r>
          </w:p>
          <w:p w:rsidR="004A2615" w:rsidRDefault="004A2615" w:rsidP="004A2615"/>
          <w:p w:rsidR="00212BFB" w:rsidRPr="0060162C" w:rsidRDefault="00FA1879" w:rsidP="00E6298F">
            <w:pPr>
              <w:pStyle w:val="ListParagraph"/>
              <w:numPr>
                <w:ilvl w:val="0"/>
                <w:numId w:val="25"/>
              </w:numPr>
              <w:rPr>
                <w:iCs/>
              </w:rPr>
            </w:pPr>
            <w:r w:rsidRPr="0060162C">
              <w:rPr>
                <w:iCs/>
              </w:rPr>
              <w:t xml:space="preserve">These areas </w:t>
            </w:r>
            <w:r w:rsidR="004A2615" w:rsidRPr="0060162C">
              <w:rPr>
                <w:iCs/>
              </w:rPr>
              <w:t xml:space="preserve">all </w:t>
            </w:r>
            <w:r w:rsidRPr="0060162C">
              <w:rPr>
                <w:iCs/>
              </w:rPr>
              <w:t>report vacancies</w:t>
            </w:r>
            <w:r w:rsidR="004A2615" w:rsidRPr="0060162C">
              <w:rPr>
                <w:iCs/>
              </w:rPr>
              <w:t xml:space="preserve"> and sickness levels</w:t>
            </w:r>
            <w:r w:rsidRPr="0060162C">
              <w:rPr>
                <w:iCs/>
              </w:rPr>
              <w:t xml:space="preserve"> within ward establishments</w:t>
            </w:r>
            <w:r w:rsidR="004A2615" w:rsidRPr="0060162C">
              <w:rPr>
                <w:iCs/>
              </w:rPr>
              <w:t xml:space="preserve"> as a primary reasons for staffing challenges experienced in month</w:t>
            </w:r>
            <w:r w:rsidR="00DF56DD" w:rsidRPr="0060162C">
              <w:rPr>
                <w:iCs/>
              </w:rPr>
              <w:t xml:space="preserve">.  </w:t>
            </w:r>
          </w:p>
          <w:p w:rsidR="0060162C" w:rsidRPr="0060162C" w:rsidRDefault="0060162C" w:rsidP="0060162C">
            <w:pPr>
              <w:pStyle w:val="ListParagraph"/>
              <w:ind w:left="1080"/>
              <w:rPr>
                <w:iCs/>
              </w:rPr>
            </w:pPr>
          </w:p>
          <w:p w:rsidR="00B15E56" w:rsidRDefault="00A604B6" w:rsidP="00B15E56">
            <w:pPr>
              <w:pStyle w:val="ListParagraph"/>
              <w:numPr>
                <w:ilvl w:val="0"/>
                <w:numId w:val="13"/>
              </w:numPr>
            </w:pPr>
            <w:r>
              <w:t xml:space="preserve">All </w:t>
            </w:r>
            <w:r w:rsidR="004A2615">
              <w:t xml:space="preserve">incident reports </w:t>
            </w:r>
            <w:r>
              <w:t xml:space="preserve">submitted </w:t>
            </w:r>
            <w:r w:rsidR="004A2615">
              <w:t>were</w:t>
            </w:r>
            <w:r>
              <w:t xml:space="preserve"> reviewed within 72 hours of submission and triangulated against safety </w:t>
            </w:r>
            <w:r w:rsidR="004A2615">
              <w:t>incidents for</w:t>
            </w:r>
            <w:r>
              <w:t xml:space="preserve"> pressure ulcers and falls.  There was no correlation </w:t>
            </w:r>
            <w:r w:rsidR="00186B5A">
              <w:t xml:space="preserve">of harm </w:t>
            </w:r>
            <w:r w:rsidR="004A2615">
              <w:t xml:space="preserve">for patients </w:t>
            </w:r>
            <w:r w:rsidR="00186B5A">
              <w:t>identified</w:t>
            </w:r>
            <w:r w:rsidR="004A2615">
              <w:t>.</w:t>
            </w:r>
            <w:r w:rsidR="00186B5A">
              <w:t xml:space="preserve"> </w:t>
            </w:r>
            <w:r w:rsidR="004A2615">
              <w:t>R</w:t>
            </w:r>
            <w:r w:rsidR="00493D24">
              <w:t xml:space="preserve">easons for reporting the incidents </w:t>
            </w:r>
            <w:r w:rsidR="00B15E56">
              <w:t>were</w:t>
            </w:r>
            <w:r w:rsidR="00616200">
              <w:t>:</w:t>
            </w:r>
          </w:p>
          <w:p w:rsidR="004A2615" w:rsidRDefault="004A2615" w:rsidP="00616200">
            <w:pPr>
              <w:pStyle w:val="ListParagraph"/>
              <w:numPr>
                <w:ilvl w:val="0"/>
                <w:numId w:val="16"/>
              </w:numPr>
            </w:pPr>
            <w:r>
              <w:t xml:space="preserve">9/47 occasions </w:t>
            </w:r>
            <w:r w:rsidR="00FA1879">
              <w:t xml:space="preserve">were for </w:t>
            </w:r>
            <w:r w:rsidR="00580A94">
              <w:t xml:space="preserve">increased </w:t>
            </w:r>
            <w:r w:rsidR="00493D24">
              <w:t>patient acuity</w:t>
            </w:r>
            <w:r w:rsidR="00580A94">
              <w:t xml:space="preserve"> requiring increased staffing levels on shift from</w:t>
            </w:r>
            <w:r>
              <w:t xml:space="preserve"> </w:t>
            </w:r>
            <w:r w:rsidR="00580A94">
              <w:t>ei</w:t>
            </w:r>
            <w:r w:rsidR="00493D24">
              <w:t xml:space="preserve">ther </w:t>
            </w:r>
            <w:proofErr w:type="gramStart"/>
            <w:r w:rsidR="00493D24">
              <w:t>patients</w:t>
            </w:r>
            <w:r w:rsidR="00DF56DD">
              <w:t>’</w:t>
            </w:r>
            <w:proofErr w:type="gramEnd"/>
            <w:r w:rsidR="00493D24">
              <w:t xml:space="preserve"> at risk of falls, patient confusion or</w:t>
            </w:r>
            <w:r w:rsidR="00580A94">
              <w:t xml:space="preserve"> acutely unwell. </w:t>
            </w:r>
          </w:p>
          <w:p w:rsidR="00580A94" w:rsidRDefault="004A2615" w:rsidP="00616200">
            <w:pPr>
              <w:pStyle w:val="ListParagraph"/>
              <w:numPr>
                <w:ilvl w:val="0"/>
                <w:numId w:val="16"/>
              </w:numPr>
            </w:pPr>
            <w:r>
              <w:t>1/47</w:t>
            </w:r>
            <w:r w:rsidR="00580A94">
              <w:t xml:space="preserve"> incident reporte</w:t>
            </w:r>
            <w:r w:rsidR="00B15E56">
              <w:t>d patient analgesia was delayed</w:t>
            </w:r>
            <w:r>
              <w:t xml:space="preserve"> due to staffing numbers on shift and business with no harm occurring to patient as an result</w:t>
            </w:r>
            <w:r w:rsidR="00B15E56">
              <w:t>.</w:t>
            </w:r>
          </w:p>
          <w:p w:rsidR="00B15E56" w:rsidRDefault="004A2615" w:rsidP="00616200">
            <w:pPr>
              <w:pStyle w:val="ListParagraph"/>
              <w:numPr>
                <w:ilvl w:val="0"/>
                <w:numId w:val="16"/>
              </w:numPr>
            </w:pPr>
            <w:r>
              <w:t>38/47 shifts reported s</w:t>
            </w:r>
            <w:r w:rsidR="00B15E56">
              <w:t>taffing levels were lower than planned.</w:t>
            </w:r>
          </w:p>
          <w:p w:rsidR="00580A94" w:rsidRDefault="00580A94" w:rsidP="009A4B3E">
            <w:pPr>
              <w:pStyle w:val="ListParagraph"/>
            </w:pPr>
          </w:p>
          <w:p w:rsidR="00580A94" w:rsidRDefault="00B15E56" w:rsidP="00616200">
            <w:pPr>
              <w:pStyle w:val="ListParagraph"/>
              <w:numPr>
                <w:ilvl w:val="0"/>
                <w:numId w:val="13"/>
              </w:numPr>
            </w:pPr>
            <w:r>
              <w:t xml:space="preserve">Of the </w:t>
            </w:r>
            <w:r w:rsidR="00FA1879">
              <w:t>47</w:t>
            </w:r>
            <w:r w:rsidR="00580A94">
              <w:t xml:space="preserve"> incidents</w:t>
            </w:r>
            <w:r w:rsidR="00FA1879">
              <w:t xml:space="preserve"> over 2 months</w:t>
            </w:r>
            <w:r w:rsidR="00580A94">
              <w:t xml:space="preserve">, </w:t>
            </w:r>
            <w:r w:rsidR="00FA1879">
              <w:t>there were 17 at Alexandra Hospital, 31</w:t>
            </w:r>
            <w:r w:rsidR="00DF56DD">
              <w:t xml:space="preserve"> Worcester Royal Hospital which is in line with size of site and proportional representation.</w:t>
            </w:r>
          </w:p>
          <w:p w:rsidR="00580A94" w:rsidRDefault="00580A94" w:rsidP="009A4B3E">
            <w:pPr>
              <w:pStyle w:val="ListParagraph"/>
            </w:pPr>
          </w:p>
          <w:p w:rsidR="00D1385E" w:rsidRPr="002944C6" w:rsidRDefault="000A128E" w:rsidP="000A128E">
            <w:pPr>
              <w:pStyle w:val="ListParagraph"/>
              <w:numPr>
                <w:ilvl w:val="0"/>
                <w:numId w:val="2"/>
              </w:numPr>
            </w:pPr>
            <w:r w:rsidRPr="0060162C">
              <w:rPr>
                <w:b/>
              </w:rPr>
              <w:t>Safer staffing data</w:t>
            </w:r>
            <w:r w:rsidRPr="002944C6">
              <w:t xml:space="preserve">:  The need to improve on the </w:t>
            </w:r>
            <w:r w:rsidR="00C25E18" w:rsidRPr="002944C6">
              <w:t>accurate</w:t>
            </w:r>
            <w:r w:rsidRPr="002944C6">
              <w:t xml:space="preserve"> timely reporting of staffing levels and ability to fill gaps in shifts has been recognised by </w:t>
            </w:r>
            <w:r w:rsidR="0060162C">
              <w:t xml:space="preserve">the </w:t>
            </w:r>
            <w:r w:rsidRPr="002944C6">
              <w:t xml:space="preserve">workforce team.  A business case submitted in 2018 </w:t>
            </w:r>
            <w:r w:rsidR="00683E9C" w:rsidRPr="002944C6">
              <w:t>was</w:t>
            </w:r>
            <w:r w:rsidRPr="002944C6">
              <w:t xml:space="preserve"> approved</w:t>
            </w:r>
            <w:r w:rsidR="00683E9C" w:rsidRPr="002944C6">
              <w:t xml:space="preserve"> to support the purchase </w:t>
            </w:r>
            <w:r w:rsidR="00C25E18" w:rsidRPr="002944C6">
              <w:t>and introduction</w:t>
            </w:r>
            <w:r w:rsidRPr="002944C6">
              <w:t xml:space="preserve"> </w:t>
            </w:r>
            <w:r w:rsidR="00C25E18" w:rsidRPr="002944C6">
              <w:t>of</w:t>
            </w:r>
            <w:r w:rsidRPr="002944C6">
              <w:t xml:space="preserve"> safer staffing </w:t>
            </w:r>
            <w:r w:rsidR="00683E9C" w:rsidRPr="002944C6">
              <w:t>softw</w:t>
            </w:r>
            <w:r w:rsidR="00D1385E" w:rsidRPr="002944C6">
              <w:t>are</w:t>
            </w:r>
            <w:r w:rsidRPr="002944C6">
              <w:t xml:space="preserve"> </w:t>
            </w:r>
            <w:r w:rsidR="00D1385E" w:rsidRPr="002944C6">
              <w:t>this will build efficiencies and effectiveness of our workforce utilisation.</w:t>
            </w:r>
            <w:r w:rsidR="00CA7026" w:rsidRPr="002944C6">
              <w:t xml:space="preserve">  A task and finish group is establish led by Di Pugh this work is currently being reviewed from an IT infrastructure requirement resulting in the role out being delayed to 2019.</w:t>
            </w:r>
          </w:p>
          <w:p w:rsidR="00776899" w:rsidRDefault="00683E9C" w:rsidP="00776899">
            <w:pPr>
              <w:pStyle w:val="ListParagraph"/>
              <w:numPr>
                <w:ilvl w:val="0"/>
                <w:numId w:val="2"/>
              </w:numPr>
            </w:pPr>
            <w:r w:rsidRPr="0060162C">
              <w:rPr>
                <w:b/>
              </w:rPr>
              <w:t>A business case</w:t>
            </w:r>
            <w:r w:rsidRPr="002944C6">
              <w:t xml:space="preserve"> is being developed to support a programme to recruit and train nurses who are living in UK with an international registration but have not gained NMC registration</w:t>
            </w:r>
            <w:r w:rsidR="00CA7026" w:rsidRPr="002944C6">
              <w:t xml:space="preserve"> has been submitted to HEE.  Meeting at STP workforce meeti</w:t>
            </w:r>
            <w:r w:rsidR="0060162C">
              <w:t>ng in July 2018 has requested a</w:t>
            </w:r>
            <w:r w:rsidR="00CA7026" w:rsidRPr="002944C6">
              <w:t xml:space="preserve"> review through a task and finish </w:t>
            </w:r>
            <w:r w:rsidR="0060162C">
              <w:t xml:space="preserve">group </w:t>
            </w:r>
            <w:r w:rsidR="00CA7026" w:rsidRPr="002944C6">
              <w:t xml:space="preserve">to establish </w:t>
            </w:r>
            <w:r w:rsidR="002944C6" w:rsidRPr="002944C6">
              <w:t>whether</w:t>
            </w:r>
            <w:r w:rsidR="0060162C">
              <w:t xml:space="preserve"> WAH</w:t>
            </w:r>
            <w:r w:rsidR="00CA7026" w:rsidRPr="002944C6">
              <w:t>T could host this work</w:t>
            </w:r>
            <w:r w:rsidR="0060162C">
              <w:t xml:space="preserve"> </w:t>
            </w:r>
            <w:r w:rsidR="00CA7026" w:rsidRPr="002944C6">
              <w:t xml:space="preserve">stream across </w:t>
            </w:r>
            <w:r w:rsidR="0060162C">
              <w:t xml:space="preserve">the </w:t>
            </w:r>
            <w:r w:rsidR="002944C6" w:rsidRPr="002944C6">
              <w:t>health economy for</w:t>
            </w:r>
            <w:r w:rsidR="00CA7026" w:rsidRPr="002944C6">
              <w:t xml:space="preserve"> Worcester</w:t>
            </w:r>
            <w:r w:rsidR="002944C6" w:rsidRPr="002944C6">
              <w:t>shire</w:t>
            </w:r>
            <w:r w:rsidR="00CA7026" w:rsidRPr="002944C6">
              <w:t xml:space="preserve"> and Herefordshire.</w:t>
            </w:r>
          </w:p>
          <w:p w:rsidR="005247CF" w:rsidRDefault="005247CF" w:rsidP="00776899">
            <w:pPr>
              <w:pStyle w:val="ListParagraph"/>
              <w:numPr>
                <w:ilvl w:val="0"/>
                <w:numId w:val="2"/>
              </w:numPr>
            </w:pPr>
            <w:r w:rsidRPr="0060162C">
              <w:rPr>
                <w:b/>
              </w:rPr>
              <w:t>The simulation lab</w:t>
            </w:r>
            <w:r>
              <w:t xml:space="preserve"> was formally opened on 18</w:t>
            </w:r>
            <w:r w:rsidRPr="005247CF">
              <w:rPr>
                <w:vertAlign w:val="superscript"/>
              </w:rPr>
              <w:t>th</w:t>
            </w:r>
            <w:r>
              <w:t xml:space="preserve"> July 2018 at Kidderminster with recognition both locally and nationally. </w:t>
            </w:r>
          </w:p>
          <w:p w:rsidR="00776899" w:rsidRDefault="00776899" w:rsidP="00776899">
            <w:pPr>
              <w:pStyle w:val="ListParagraph"/>
              <w:numPr>
                <w:ilvl w:val="0"/>
                <w:numId w:val="2"/>
              </w:numPr>
            </w:pPr>
            <w:r w:rsidRPr="00776899">
              <w:lastRenderedPageBreak/>
              <w:t xml:space="preserve">Consultant Midwife Caitlin Wilson has received </w:t>
            </w:r>
            <w:r w:rsidRPr="0060162C">
              <w:rPr>
                <w:b/>
              </w:rPr>
              <w:t>international recognition</w:t>
            </w:r>
            <w:r w:rsidRPr="00776899">
              <w:t xml:space="preserve"> after presenting her research findings at a birthing conference in Michigan, USA last month. Caitlin Wilson was invited to attend the International Normal Labour and Birth Research Conference at the University of Michigan in Ann </w:t>
            </w:r>
            <w:proofErr w:type="spellStart"/>
            <w:r w:rsidRPr="00776899">
              <w:t>Arbor</w:t>
            </w:r>
            <w:proofErr w:type="spellEnd"/>
            <w:r w:rsidRPr="00776899">
              <w:t>, after submitting two pieces of original research on maternity roles in the UK.</w:t>
            </w:r>
          </w:p>
          <w:p w:rsidR="004A2615" w:rsidRDefault="004A2615" w:rsidP="00776899">
            <w:pPr>
              <w:pStyle w:val="ListParagraph"/>
              <w:numPr>
                <w:ilvl w:val="0"/>
                <w:numId w:val="2"/>
              </w:numPr>
            </w:pPr>
            <w:r w:rsidRPr="0060162C">
              <w:rPr>
                <w:b/>
              </w:rPr>
              <w:t>The trust has been shortlisted for Nursing Times Workforce award</w:t>
            </w:r>
            <w:r>
              <w:t xml:space="preserve"> </w:t>
            </w:r>
            <w:r w:rsidR="00DF56DD">
              <w:t xml:space="preserve">October </w:t>
            </w:r>
            <w:r>
              <w:t xml:space="preserve">2018 </w:t>
            </w:r>
            <w:r w:rsidR="00DF56DD">
              <w:t>“</w:t>
            </w:r>
            <w:r w:rsidR="005247CF">
              <w:t>Strengthening our nursing workforce by focusing on ‘R’s’ which are: Recruit, Retain, Return, Retir</w:t>
            </w:r>
            <w:r w:rsidR="00DF56DD">
              <w:t>es, Redesign, Rewards and Rules”.</w:t>
            </w:r>
          </w:p>
          <w:p w:rsidR="00776899" w:rsidRDefault="0060162C" w:rsidP="00776899">
            <w:pPr>
              <w:pStyle w:val="ListParagraph"/>
              <w:numPr>
                <w:ilvl w:val="0"/>
                <w:numId w:val="2"/>
              </w:numPr>
            </w:pPr>
            <w:r>
              <w:t xml:space="preserve">Work has identified the principles </w:t>
            </w:r>
            <w:r w:rsidR="0074127B">
              <w:t>needed for the</w:t>
            </w:r>
            <w:r w:rsidR="00DF56DD">
              <w:t xml:space="preserve"> </w:t>
            </w:r>
            <w:r w:rsidR="00DF56DD" w:rsidRPr="0074127B">
              <w:rPr>
                <w:b/>
              </w:rPr>
              <w:t xml:space="preserve">workforce needs for </w:t>
            </w:r>
            <w:r w:rsidR="0074127B" w:rsidRPr="0074127B">
              <w:rPr>
                <w:b/>
              </w:rPr>
              <w:t xml:space="preserve">the </w:t>
            </w:r>
            <w:r w:rsidR="00DF56DD" w:rsidRPr="0074127B">
              <w:rPr>
                <w:b/>
              </w:rPr>
              <w:t>winter plan</w:t>
            </w:r>
            <w:r w:rsidR="00DF56DD">
              <w:t xml:space="preserve">. </w:t>
            </w:r>
            <w:r w:rsidR="0074127B">
              <w:t>The detail required in WTE will be developed by the end of August.</w:t>
            </w:r>
            <w:r w:rsidR="00DF56DD">
              <w:t xml:space="preserve"> </w:t>
            </w:r>
            <w:r w:rsidR="0074127B">
              <w:t xml:space="preserve">A review of targeted recruitment has been considered </w:t>
            </w:r>
            <w:r w:rsidR="00DF56DD">
              <w:t xml:space="preserve">through </w:t>
            </w:r>
            <w:r w:rsidR="00883751">
              <w:t xml:space="preserve">targeted </w:t>
            </w:r>
            <w:r w:rsidR="00DF56DD">
              <w:t>recruitment days planned in September and October</w:t>
            </w:r>
            <w:r w:rsidR="00883751">
              <w:t xml:space="preserve">.  </w:t>
            </w:r>
          </w:p>
          <w:p w:rsidR="0074127B" w:rsidRDefault="0074127B" w:rsidP="0074127B">
            <w:pPr>
              <w:pStyle w:val="ListParagraph"/>
              <w:numPr>
                <w:ilvl w:val="0"/>
                <w:numId w:val="2"/>
              </w:numPr>
            </w:pPr>
            <w:r>
              <w:t xml:space="preserve">The </w:t>
            </w:r>
            <w:r w:rsidRPr="0074127B">
              <w:rPr>
                <w:b/>
              </w:rPr>
              <w:t>development of a staffing template</w:t>
            </w:r>
            <w:r>
              <w:t xml:space="preserve"> for the 2 new wards (48 beds) has been drafted and s</w:t>
            </w:r>
            <w:r w:rsidR="00883751">
              <w:t xml:space="preserve">upport is required for </w:t>
            </w:r>
            <w:r>
              <w:t xml:space="preserve">the </w:t>
            </w:r>
            <w:r w:rsidR="00883751">
              <w:t xml:space="preserve">medical division in development of </w:t>
            </w:r>
            <w:r>
              <w:t xml:space="preserve">a </w:t>
            </w:r>
            <w:r w:rsidR="00883751">
              <w:t xml:space="preserve">business case for workforce plan </w:t>
            </w:r>
          </w:p>
          <w:p w:rsidR="00F47FEA" w:rsidRPr="003C7883" w:rsidRDefault="00883751" w:rsidP="00E6298F">
            <w:pPr>
              <w:pStyle w:val="ListParagraph"/>
              <w:numPr>
                <w:ilvl w:val="0"/>
                <w:numId w:val="2"/>
              </w:numPr>
              <w:rPr>
                <w:color w:val="FF0000"/>
              </w:rPr>
            </w:pPr>
            <w:r w:rsidRPr="009542D3">
              <w:t xml:space="preserve">Nursing and Midwifery </w:t>
            </w:r>
            <w:r w:rsidR="00C12309" w:rsidRPr="009542D3">
              <w:t xml:space="preserve">trust wide </w:t>
            </w:r>
            <w:r w:rsidRPr="009542D3">
              <w:t>staffing risk</w:t>
            </w:r>
            <w:r w:rsidR="00C12309" w:rsidRPr="009542D3">
              <w:t xml:space="preserve"> on risk register </w:t>
            </w:r>
            <w:r w:rsidR="009542D3" w:rsidRPr="009542D3">
              <w:t xml:space="preserve">– 3847 </w:t>
            </w:r>
            <w:r w:rsidR="009542D3">
              <w:t>risk rating 9.  Ne</w:t>
            </w:r>
            <w:r w:rsidR="009542D3" w:rsidRPr="009542D3">
              <w:t>xt review date 31</w:t>
            </w:r>
            <w:r w:rsidR="009542D3" w:rsidRPr="009542D3">
              <w:rPr>
                <w:vertAlign w:val="superscript"/>
              </w:rPr>
              <w:t>st</w:t>
            </w:r>
            <w:r w:rsidR="009542D3" w:rsidRPr="009542D3">
              <w:t xml:space="preserve"> October 2018</w:t>
            </w:r>
            <w:r w:rsidRPr="009542D3">
              <w:t xml:space="preserve"> </w:t>
            </w:r>
          </w:p>
        </w:tc>
      </w:tr>
      <w:tr w:rsidR="002E4321" w:rsidTr="00143E19">
        <w:tc>
          <w:tcPr>
            <w:tcW w:w="10916" w:type="dxa"/>
            <w:shd w:val="clear" w:color="auto" w:fill="FBD4B4" w:themeFill="accent6" w:themeFillTint="66"/>
          </w:tcPr>
          <w:p w:rsidR="002E4321" w:rsidRPr="003C7883" w:rsidRDefault="002E4321" w:rsidP="00362FD7">
            <w:pPr>
              <w:rPr>
                <w:rFonts w:ascii="Arial" w:hAnsi="Arial" w:cs="Arial"/>
                <w:color w:val="FF0000"/>
              </w:rPr>
            </w:pPr>
            <w:r w:rsidRPr="002944C6">
              <w:rPr>
                <w:rFonts w:ascii="Arial" w:hAnsi="Arial" w:cs="Arial"/>
              </w:rPr>
              <w:lastRenderedPageBreak/>
              <w:t>Recommendations</w:t>
            </w:r>
          </w:p>
        </w:tc>
      </w:tr>
      <w:tr w:rsidR="002E4321" w:rsidTr="00186B5A">
        <w:tc>
          <w:tcPr>
            <w:tcW w:w="10916" w:type="dxa"/>
          </w:tcPr>
          <w:p w:rsidR="00143E19" w:rsidRPr="004D250D" w:rsidRDefault="00143E19" w:rsidP="00143E19">
            <w:pPr>
              <w:rPr>
                <w:rFonts w:ascii="Arial" w:hAnsi="Arial" w:cs="Arial"/>
                <w:iCs/>
              </w:rPr>
            </w:pPr>
            <w:r w:rsidRPr="004D250D">
              <w:rPr>
                <w:rFonts w:ascii="Arial" w:hAnsi="Arial" w:cs="Arial"/>
                <w:iCs/>
              </w:rPr>
              <w:t xml:space="preserve">The </w:t>
            </w:r>
            <w:r>
              <w:rPr>
                <w:rFonts w:ascii="Arial" w:hAnsi="Arial" w:cs="Arial"/>
                <w:iCs/>
              </w:rPr>
              <w:t xml:space="preserve">Board </w:t>
            </w:r>
            <w:r w:rsidRPr="004D250D">
              <w:rPr>
                <w:rFonts w:ascii="Arial" w:hAnsi="Arial" w:cs="Arial"/>
                <w:iCs/>
              </w:rPr>
              <w:t>is requested to</w:t>
            </w:r>
            <w:r>
              <w:rPr>
                <w:rFonts w:ascii="Arial" w:hAnsi="Arial" w:cs="Arial"/>
                <w:iCs/>
              </w:rPr>
              <w:t xml:space="preserve"> note this report for assurance. </w:t>
            </w:r>
          </w:p>
          <w:p w:rsidR="002E4321" w:rsidRPr="003C7883" w:rsidRDefault="002E4321" w:rsidP="00362FD7">
            <w:pPr>
              <w:rPr>
                <w:rFonts w:ascii="Arial" w:hAnsi="Arial" w:cs="Arial"/>
                <w:color w:val="FF0000"/>
              </w:rPr>
            </w:pPr>
          </w:p>
        </w:tc>
      </w:tr>
      <w:tr w:rsidR="00E6298F" w:rsidTr="00143E19">
        <w:tc>
          <w:tcPr>
            <w:tcW w:w="10916" w:type="dxa"/>
            <w:shd w:val="clear" w:color="auto" w:fill="FBD4B4" w:themeFill="accent6" w:themeFillTint="66"/>
          </w:tcPr>
          <w:p w:rsidR="00E6298F" w:rsidRDefault="00E6298F" w:rsidP="002944C6">
            <w:pPr>
              <w:rPr>
                <w:rFonts w:ascii="Arial" w:hAnsi="Arial" w:cs="Arial"/>
                <w:iCs/>
              </w:rPr>
            </w:pPr>
            <w:r>
              <w:rPr>
                <w:rFonts w:ascii="Arial" w:hAnsi="Arial" w:cs="Arial"/>
                <w:iCs/>
              </w:rPr>
              <w:t>Appendices</w:t>
            </w:r>
          </w:p>
          <w:p w:rsidR="00E6298F" w:rsidRDefault="00E6298F" w:rsidP="002944C6">
            <w:pPr>
              <w:rPr>
                <w:rFonts w:ascii="Arial" w:hAnsi="Arial" w:cs="Arial"/>
                <w:iCs/>
              </w:rPr>
            </w:pPr>
            <w:r>
              <w:rPr>
                <w:rFonts w:ascii="Arial" w:hAnsi="Arial" w:cs="Arial"/>
                <w:iCs/>
              </w:rPr>
              <w:t>1 – explanatory notes</w:t>
            </w:r>
          </w:p>
          <w:p w:rsidR="00E6298F" w:rsidRDefault="00E6298F" w:rsidP="002944C6">
            <w:pPr>
              <w:rPr>
                <w:rFonts w:ascii="Arial" w:hAnsi="Arial" w:cs="Arial"/>
                <w:iCs/>
              </w:rPr>
            </w:pPr>
            <w:r>
              <w:rPr>
                <w:rFonts w:ascii="Arial" w:hAnsi="Arial" w:cs="Arial"/>
                <w:iCs/>
              </w:rPr>
              <w:t>2 – June data</w:t>
            </w:r>
          </w:p>
          <w:p w:rsidR="00E6298F" w:rsidRPr="002944C6" w:rsidRDefault="00E6298F" w:rsidP="002944C6">
            <w:pPr>
              <w:rPr>
                <w:rFonts w:ascii="Arial" w:hAnsi="Arial" w:cs="Arial"/>
                <w:iCs/>
              </w:rPr>
            </w:pPr>
            <w:r>
              <w:rPr>
                <w:rFonts w:ascii="Arial" w:hAnsi="Arial" w:cs="Arial"/>
                <w:iCs/>
              </w:rPr>
              <w:t>3 – July data</w:t>
            </w:r>
          </w:p>
        </w:tc>
      </w:tr>
    </w:tbl>
    <w:p w:rsidR="00BD067B" w:rsidRDefault="00BD067B"/>
    <w:p w:rsidR="00BD067B" w:rsidRDefault="00BD067B"/>
    <w:p w:rsidR="0074127B" w:rsidRDefault="0074127B"/>
    <w:p w:rsidR="0074127B" w:rsidRDefault="0074127B"/>
    <w:p w:rsidR="00E6298F" w:rsidRDefault="00E6298F">
      <w:r>
        <w:br w:type="page"/>
      </w:r>
    </w:p>
    <w:tbl>
      <w:tblPr>
        <w:tblStyle w:val="TableGrid"/>
        <w:tblW w:w="0" w:type="auto"/>
        <w:tblLayout w:type="fixed"/>
        <w:tblLook w:val="04A0" w:firstRow="1" w:lastRow="0" w:firstColumn="1" w:lastColumn="0" w:noHBand="0" w:noVBand="1"/>
      </w:tblPr>
      <w:tblGrid>
        <w:gridCol w:w="9180"/>
      </w:tblGrid>
      <w:tr w:rsidR="002E4321" w:rsidTr="00143E19">
        <w:tc>
          <w:tcPr>
            <w:tcW w:w="9180"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Appendices</w:t>
            </w:r>
          </w:p>
        </w:tc>
      </w:tr>
      <w:tr w:rsidR="004C6295" w:rsidTr="00AD0A50">
        <w:tc>
          <w:tcPr>
            <w:tcW w:w="9180" w:type="dxa"/>
            <w:shd w:val="clear" w:color="auto" w:fill="FFFFFF" w:themeFill="background1"/>
          </w:tcPr>
          <w:p w:rsidR="002902D4" w:rsidRDefault="00BD067B" w:rsidP="00362FD7">
            <w:pPr>
              <w:rPr>
                <w:rFonts w:ascii="Arial" w:hAnsi="Arial" w:cs="Arial"/>
              </w:rPr>
            </w:pPr>
            <w:r>
              <w:br w:type="page"/>
            </w:r>
          </w:p>
          <w:p w:rsidR="006C12AA" w:rsidRPr="004C4A0E" w:rsidRDefault="006C12AA" w:rsidP="00362FD7">
            <w:pPr>
              <w:rPr>
                <w:rFonts w:ascii="Arial" w:hAnsi="Arial" w:cs="Arial"/>
                <w:u w:val="single"/>
              </w:rPr>
            </w:pPr>
            <w:r w:rsidRPr="004C4A0E">
              <w:rPr>
                <w:rFonts w:ascii="Arial" w:hAnsi="Arial" w:cs="Arial"/>
                <w:u w:val="single"/>
              </w:rPr>
              <w:t>Appendix 1</w:t>
            </w:r>
          </w:p>
          <w:p w:rsidR="00BD067B" w:rsidRPr="004C4A0E" w:rsidRDefault="00BD067B" w:rsidP="00362FD7">
            <w:pPr>
              <w:rPr>
                <w:rFonts w:ascii="Arial" w:hAnsi="Arial" w:cs="Arial"/>
                <w:u w:val="single"/>
              </w:rPr>
            </w:pP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Shifts and Hours</w:t>
            </w:r>
          </w:p>
          <w:p w:rsidR="002902D4" w:rsidRPr="004C4A0E" w:rsidRDefault="002902D4" w:rsidP="002902D4">
            <w:pPr>
              <w:numPr>
                <w:ilvl w:val="0"/>
                <w:numId w:val="3"/>
              </w:numPr>
              <w:spacing w:before="100" w:beforeAutospacing="1" w:after="100" w:afterAutospacing="1"/>
              <w:rPr>
                <w:rFonts w:ascii="Arial" w:eastAsia="Times New Roman" w:hAnsi="Arial" w:cs="Arial"/>
                <w:lang w:val="en-US" w:eastAsia="en-GB"/>
              </w:rPr>
            </w:pPr>
            <w:r w:rsidRPr="004C4A0E">
              <w:rPr>
                <w:rFonts w:ascii="Arial" w:eastAsia="Times New Roman" w:hAnsi="Arial" w:cs="Arial"/>
                <w:color w:val="000000"/>
                <w:lang w:val="en-US" w:eastAsia="en-GB"/>
              </w:rPr>
              <w:t>Early - 6 Hours</w:t>
            </w:r>
          </w:p>
          <w:p w:rsidR="002902D4" w:rsidRPr="004C4A0E" w:rsidRDefault="002902D4" w:rsidP="002902D4">
            <w:pPr>
              <w:numPr>
                <w:ilvl w:val="0"/>
                <w:numId w:val="3"/>
              </w:numPr>
              <w:spacing w:before="100" w:beforeAutospacing="1" w:after="100" w:afterAutospacing="1"/>
              <w:rPr>
                <w:rFonts w:ascii="Arial" w:eastAsia="Times New Roman" w:hAnsi="Arial" w:cs="Arial"/>
                <w:lang w:val="en-US" w:eastAsia="en-GB"/>
              </w:rPr>
            </w:pPr>
            <w:r w:rsidRPr="004C4A0E">
              <w:rPr>
                <w:rFonts w:ascii="Arial" w:eastAsia="Times New Roman" w:hAnsi="Arial" w:cs="Arial"/>
                <w:color w:val="000000"/>
                <w:lang w:val="en-US" w:eastAsia="en-GB"/>
              </w:rPr>
              <w:t>Late - 6 Hours</w:t>
            </w:r>
          </w:p>
          <w:p w:rsidR="002902D4" w:rsidRPr="004C4A0E" w:rsidRDefault="002902D4" w:rsidP="002902D4">
            <w:pPr>
              <w:numPr>
                <w:ilvl w:val="0"/>
                <w:numId w:val="3"/>
              </w:numPr>
              <w:spacing w:before="100" w:beforeAutospacing="1" w:after="100" w:afterAutospacing="1"/>
              <w:rPr>
                <w:rFonts w:ascii="Arial" w:eastAsia="Times New Roman" w:hAnsi="Arial" w:cs="Arial"/>
                <w:lang w:val="en-US" w:eastAsia="en-GB"/>
              </w:rPr>
            </w:pPr>
            <w:r w:rsidRPr="004C4A0E">
              <w:rPr>
                <w:rFonts w:ascii="Arial" w:eastAsia="Times New Roman" w:hAnsi="Arial" w:cs="Arial"/>
                <w:color w:val="000000"/>
                <w:lang w:val="en-US" w:eastAsia="en-GB"/>
              </w:rPr>
              <w:t>Night - 12 Hours</w:t>
            </w:r>
          </w:p>
          <w:p w:rsidR="002902D4" w:rsidRPr="004C4A0E" w:rsidRDefault="002902D4" w:rsidP="002902D4">
            <w:pPr>
              <w:numPr>
                <w:ilvl w:val="0"/>
                <w:numId w:val="3"/>
              </w:numPr>
              <w:spacing w:before="100" w:beforeAutospacing="1" w:after="100" w:afterAutospacing="1"/>
              <w:rPr>
                <w:rFonts w:ascii="Arial" w:eastAsia="Times New Roman" w:hAnsi="Arial" w:cs="Arial"/>
                <w:lang w:val="en-US" w:eastAsia="en-GB"/>
              </w:rPr>
            </w:pPr>
            <w:r w:rsidRPr="004C4A0E">
              <w:rPr>
                <w:rFonts w:ascii="Arial" w:eastAsia="Times New Roman" w:hAnsi="Arial" w:cs="Arial"/>
                <w:color w:val="000000"/>
                <w:lang w:val="en-US" w:eastAsia="en-GB"/>
              </w:rPr>
              <w:t>Long Day (Early Without a Late) - 12 hours</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 </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Total Planned Hours</w:t>
            </w:r>
            <w:r w:rsidRPr="004C4A0E">
              <w:rPr>
                <w:rFonts w:ascii="Arial" w:eastAsia="Times New Roman" w:hAnsi="Arial" w:cs="Arial"/>
                <w:color w:val="000000"/>
                <w:lang w:val="en-US" w:eastAsia="en-GB"/>
              </w:rPr>
              <w:t xml:space="preserve"> - The amount of Planned Staff multiplied by shift hours</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xml:space="preserve">Note: See </w:t>
            </w:r>
            <w:r w:rsidRPr="004C4A0E">
              <w:rPr>
                <w:rFonts w:ascii="Arial" w:eastAsia="Times New Roman" w:hAnsi="Arial" w:cs="Arial"/>
                <w:b/>
                <w:bCs/>
                <w:color w:val="000000"/>
                <w:lang w:val="en-US" w:eastAsia="en-GB"/>
              </w:rPr>
              <w:t>Shifts and Hours</w:t>
            </w:r>
            <w:r w:rsidRPr="004C4A0E">
              <w:rPr>
                <w:rFonts w:ascii="Arial" w:eastAsia="Times New Roman" w:hAnsi="Arial" w:cs="Arial"/>
                <w:color w:val="000000"/>
                <w:lang w:val="en-US" w:eastAsia="en-GB"/>
              </w:rPr>
              <w:t xml:space="preserve"> above.</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Total Actual Hours</w:t>
            </w:r>
            <w:r w:rsidRPr="004C4A0E">
              <w:rPr>
                <w:rFonts w:ascii="Arial" w:eastAsia="Times New Roman" w:hAnsi="Arial" w:cs="Arial"/>
                <w:color w:val="000000"/>
                <w:lang w:val="en-US" w:eastAsia="en-GB"/>
              </w:rPr>
              <w:t xml:space="preserve"> - The amount of actual staff multiplied by shift hours</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xml:space="preserve">Note: See </w:t>
            </w:r>
            <w:r w:rsidRPr="004C4A0E">
              <w:rPr>
                <w:rFonts w:ascii="Arial" w:eastAsia="Times New Roman" w:hAnsi="Arial" w:cs="Arial"/>
                <w:b/>
                <w:bCs/>
                <w:color w:val="000000"/>
                <w:lang w:val="en-US" w:eastAsia="en-GB"/>
              </w:rPr>
              <w:t>Shifts and Hours</w:t>
            </w:r>
            <w:r w:rsidRPr="004C4A0E">
              <w:rPr>
                <w:rFonts w:ascii="Arial" w:eastAsia="Times New Roman" w:hAnsi="Arial" w:cs="Arial"/>
                <w:color w:val="000000"/>
                <w:lang w:val="en-US" w:eastAsia="en-GB"/>
              </w:rPr>
              <w:t xml:space="preserve"> above.</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proofErr w:type="spellStart"/>
            <w:r w:rsidRPr="004C4A0E">
              <w:rPr>
                <w:rFonts w:ascii="Arial" w:eastAsia="Times New Roman" w:hAnsi="Arial" w:cs="Arial"/>
                <w:b/>
                <w:bCs/>
                <w:color w:val="000000"/>
                <w:lang w:val="en-US" w:eastAsia="en-GB"/>
              </w:rPr>
              <w:t>Avg</w:t>
            </w:r>
            <w:proofErr w:type="spellEnd"/>
            <w:r w:rsidRPr="004C4A0E">
              <w:rPr>
                <w:rFonts w:ascii="Arial" w:eastAsia="Times New Roman" w:hAnsi="Arial" w:cs="Arial"/>
                <w:b/>
                <w:bCs/>
                <w:color w:val="000000"/>
                <w:lang w:val="en-US" w:eastAsia="en-GB"/>
              </w:rPr>
              <w:t xml:space="preserve"> Fill Rate % </w:t>
            </w:r>
            <w:r w:rsidRPr="004C4A0E">
              <w:rPr>
                <w:rFonts w:ascii="Arial" w:eastAsia="Times New Roman" w:hAnsi="Arial" w:cs="Arial"/>
                <w:color w:val="000000"/>
                <w:lang w:val="en-US" w:eastAsia="en-GB"/>
              </w:rPr>
              <w:t xml:space="preserve">- Percentage of the shift hours fill rate. </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(Total Planned Hours / Total Actual Hours) * 100</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Note: If a shift does not have any planned staff for that shift the number is defaulted to 1.</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For Example: Ward A has 0 planned HCAs. If Ward A has covered a night shift with a HCA this will show up as 1200% because the default number is 1 hour but the night shift is 12 hours long.</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proofErr w:type="spellStart"/>
            <w:r w:rsidRPr="004C4A0E">
              <w:rPr>
                <w:rFonts w:ascii="Arial" w:eastAsia="Times New Roman" w:hAnsi="Arial" w:cs="Arial"/>
                <w:b/>
                <w:bCs/>
                <w:color w:val="000000"/>
                <w:lang w:val="en-US" w:eastAsia="en-GB"/>
              </w:rPr>
              <w:t>Avg</w:t>
            </w:r>
            <w:proofErr w:type="spellEnd"/>
            <w:r w:rsidRPr="004C4A0E">
              <w:rPr>
                <w:rFonts w:ascii="Arial" w:eastAsia="Times New Roman" w:hAnsi="Arial" w:cs="Arial"/>
                <w:b/>
                <w:bCs/>
                <w:color w:val="000000"/>
                <w:lang w:val="en-US" w:eastAsia="en-GB"/>
              </w:rPr>
              <w:t xml:space="preserve"> Care Hours Per Day</w:t>
            </w:r>
            <w:r w:rsidRPr="004C4A0E">
              <w:rPr>
                <w:rFonts w:ascii="Arial" w:eastAsia="Times New Roman" w:hAnsi="Arial" w:cs="Arial"/>
                <w:color w:val="000000"/>
                <w:lang w:val="en-US" w:eastAsia="en-GB"/>
              </w:rPr>
              <w:t xml:space="preserve"> - AVG Actual RN Hours + AVG Actual HCA Hours</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AVG = Sum of the actual staff hours / Day Range input above.</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proofErr w:type="spellStart"/>
            <w:r w:rsidRPr="004C4A0E">
              <w:rPr>
                <w:rFonts w:ascii="Arial" w:eastAsia="Times New Roman" w:hAnsi="Arial" w:cs="Arial"/>
                <w:b/>
                <w:bCs/>
                <w:color w:val="000000"/>
                <w:lang w:val="en-US" w:eastAsia="en-GB"/>
              </w:rPr>
              <w:t>Avg</w:t>
            </w:r>
            <w:proofErr w:type="spellEnd"/>
            <w:r w:rsidRPr="004C4A0E">
              <w:rPr>
                <w:rFonts w:ascii="Arial" w:eastAsia="Times New Roman" w:hAnsi="Arial" w:cs="Arial"/>
                <w:b/>
                <w:bCs/>
                <w:color w:val="000000"/>
                <w:lang w:val="en-US" w:eastAsia="en-GB"/>
              </w:rPr>
              <w:t xml:space="preserve"> Care Hours Per Patient Per Day</w:t>
            </w:r>
            <w:r w:rsidRPr="004C4A0E">
              <w:rPr>
                <w:rFonts w:ascii="Arial" w:eastAsia="Times New Roman" w:hAnsi="Arial" w:cs="Arial"/>
                <w:color w:val="000000"/>
                <w:lang w:val="en-US" w:eastAsia="en-GB"/>
              </w:rPr>
              <w:t xml:space="preserve"> - AVG Care Hours Per Day / Number of Available Beds</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 xml:space="preserve">Unsafe Shifts </w:t>
            </w:r>
            <w:r w:rsidRPr="004C4A0E">
              <w:rPr>
                <w:rFonts w:ascii="Arial" w:eastAsia="Times New Roman" w:hAnsi="Arial" w:cs="Arial"/>
                <w:color w:val="000000"/>
                <w:lang w:val="en-US" w:eastAsia="en-GB"/>
              </w:rPr>
              <w:t>- Amount of unsafe shifts during the time period input above.</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 xml:space="preserve">% Trust Staff </w:t>
            </w:r>
            <w:r w:rsidRPr="004C4A0E">
              <w:rPr>
                <w:rFonts w:ascii="Arial" w:eastAsia="Times New Roman" w:hAnsi="Arial" w:cs="Arial"/>
                <w:color w:val="000000"/>
                <w:lang w:val="en-US" w:eastAsia="en-GB"/>
              </w:rPr>
              <w:t xml:space="preserve">- Percentage of staff that </w:t>
            </w:r>
            <w:proofErr w:type="gramStart"/>
            <w:r w:rsidRPr="004C4A0E">
              <w:rPr>
                <w:rFonts w:ascii="Arial" w:eastAsia="Times New Roman" w:hAnsi="Arial" w:cs="Arial"/>
                <w:color w:val="000000"/>
                <w:lang w:val="en-US" w:eastAsia="en-GB"/>
              </w:rPr>
              <w:t>were</w:t>
            </w:r>
            <w:proofErr w:type="gramEnd"/>
            <w:r w:rsidRPr="004C4A0E">
              <w:rPr>
                <w:rFonts w:ascii="Arial" w:eastAsia="Times New Roman" w:hAnsi="Arial" w:cs="Arial"/>
                <w:color w:val="000000"/>
                <w:lang w:val="en-US" w:eastAsia="en-GB"/>
              </w:rPr>
              <w:t xml:space="preserve"> trust staff and not bank.</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color w:val="000000"/>
                <w:lang w:val="en-US" w:eastAsia="en-GB"/>
              </w:rPr>
              <w:t> </w:t>
            </w:r>
          </w:p>
          <w:p w:rsidR="002902D4" w:rsidRPr="004C4A0E" w:rsidRDefault="002902D4" w:rsidP="002902D4">
            <w:pPr>
              <w:rPr>
                <w:rFonts w:ascii="Arial" w:eastAsia="Times New Roman" w:hAnsi="Arial" w:cs="Arial"/>
                <w:lang w:val="en-US" w:eastAsia="en-GB"/>
              </w:rPr>
            </w:pPr>
            <w:r w:rsidRPr="004C4A0E">
              <w:rPr>
                <w:rFonts w:ascii="Arial" w:eastAsia="Times New Roman" w:hAnsi="Arial" w:cs="Arial"/>
                <w:b/>
                <w:bCs/>
                <w:color w:val="000000"/>
                <w:lang w:val="en-US" w:eastAsia="en-GB"/>
              </w:rPr>
              <w:t xml:space="preserve">Data Collection Method </w:t>
            </w:r>
            <w:r w:rsidRPr="004C4A0E">
              <w:rPr>
                <w:rFonts w:ascii="Arial" w:eastAsia="Times New Roman" w:hAnsi="Arial" w:cs="Arial"/>
                <w:color w:val="000000"/>
                <w:lang w:val="en-US" w:eastAsia="en-GB"/>
              </w:rPr>
              <w:t>- This data is being collected by staff on the wards and manually inputted into the safer staffing application. If there is data missing this may be due to the shift not being filled by the ward staff.</w:t>
            </w:r>
          </w:p>
          <w:p w:rsidR="002902D4" w:rsidRPr="002902D4" w:rsidRDefault="002902D4" w:rsidP="002902D4">
            <w:pPr>
              <w:rPr>
                <w:rFonts w:ascii="Times New Roman" w:eastAsia="Times New Roman" w:hAnsi="Times New Roman" w:cs="Times New Roman"/>
                <w:sz w:val="2"/>
                <w:szCs w:val="2"/>
                <w:lang w:val="en-US" w:eastAsia="en-GB"/>
              </w:rPr>
            </w:pPr>
            <w:r w:rsidRPr="002902D4">
              <w:rPr>
                <w:rFonts w:ascii="Arial" w:eastAsia="Times New Roman" w:hAnsi="Arial" w:cs="Arial"/>
                <w:color w:val="000000"/>
                <w:sz w:val="20"/>
                <w:szCs w:val="20"/>
                <w:lang w:val="en-US" w:eastAsia="en-GB"/>
              </w:rPr>
              <w:t> </w:t>
            </w:r>
          </w:p>
          <w:p w:rsidR="004C6295" w:rsidRDefault="004C6295" w:rsidP="00362FD7">
            <w:pPr>
              <w:rPr>
                <w:rFonts w:ascii="Arial" w:hAnsi="Arial" w:cs="Arial"/>
              </w:rPr>
            </w:pPr>
          </w:p>
        </w:tc>
      </w:tr>
    </w:tbl>
    <w:p w:rsidR="00362FD7" w:rsidRDefault="00362FD7" w:rsidP="00362FD7">
      <w:pPr>
        <w:spacing w:after="0" w:line="240" w:lineRule="auto"/>
        <w:rPr>
          <w:rFonts w:ascii="Arial" w:hAnsi="Arial" w:cs="Arial"/>
        </w:rPr>
      </w:pPr>
    </w:p>
    <w:p w:rsidR="00BD067B" w:rsidRDefault="00BD067B" w:rsidP="00362FD7">
      <w:pPr>
        <w:spacing w:after="0" w:line="240" w:lineRule="auto"/>
        <w:rPr>
          <w:rFonts w:ascii="Arial" w:hAnsi="Arial" w:cs="Arial"/>
        </w:rPr>
      </w:pPr>
    </w:p>
    <w:p w:rsidR="00BD067B" w:rsidRDefault="00BD067B">
      <w:pPr>
        <w:rPr>
          <w:rFonts w:ascii="Arial" w:hAnsi="Arial" w:cs="Arial"/>
        </w:rPr>
      </w:pPr>
      <w:r>
        <w:rPr>
          <w:rFonts w:ascii="Arial" w:hAnsi="Arial" w:cs="Arial"/>
        </w:rPr>
        <w:br w:type="page"/>
      </w:r>
    </w:p>
    <w:p w:rsidR="00BD067B" w:rsidRDefault="000A4166">
      <w:r>
        <w:lastRenderedPageBreak/>
        <w:t xml:space="preserve">June 2018 </w:t>
      </w:r>
    </w:p>
    <w:tbl>
      <w:tblPr>
        <w:tblW w:w="0" w:type="auto"/>
        <w:tblLayout w:type="fixed"/>
        <w:tblCellMar>
          <w:left w:w="30" w:type="dxa"/>
          <w:right w:w="30" w:type="dxa"/>
        </w:tblCellMar>
        <w:tblLook w:val="0000" w:firstRow="0" w:lastRow="0" w:firstColumn="0" w:lastColumn="0" w:noHBand="0" w:noVBand="0"/>
      </w:tblPr>
      <w:tblGrid>
        <w:gridCol w:w="1805"/>
        <w:gridCol w:w="1322"/>
        <w:gridCol w:w="1757"/>
        <w:gridCol w:w="1757"/>
        <w:gridCol w:w="1757"/>
        <w:gridCol w:w="1756"/>
      </w:tblGrid>
      <w:tr w:rsidR="000A4166">
        <w:trPr>
          <w:trHeight w:val="391"/>
        </w:trPr>
        <w:tc>
          <w:tcPr>
            <w:tcW w:w="1805" w:type="dxa"/>
            <w:tcBorders>
              <w:top w:val="single" w:sz="6" w:space="0" w:color="auto"/>
              <w:left w:val="single" w:sz="6" w:space="0" w:color="auto"/>
              <w:bottom w:val="single" w:sz="6" w:space="0" w:color="auto"/>
              <w:right w:val="single" w:sz="6" w:space="0" w:color="auto"/>
            </w:tcBorders>
          </w:tcPr>
          <w:p w:rsidR="000A4166" w:rsidRDefault="000A4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HOSPITAL </w:t>
            </w:r>
          </w:p>
        </w:tc>
        <w:tc>
          <w:tcPr>
            <w:tcW w:w="1322" w:type="dxa"/>
            <w:tcBorders>
              <w:top w:val="single" w:sz="6" w:space="0" w:color="auto"/>
              <w:left w:val="single" w:sz="6" w:space="0" w:color="auto"/>
              <w:bottom w:val="single" w:sz="6" w:space="0" w:color="auto"/>
              <w:right w:val="single" w:sz="6" w:space="0" w:color="auto"/>
            </w:tcBorders>
          </w:tcPr>
          <w:p w:rsidR="000A4166" w:rsidRDefault="000A4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WARD</w:t>
            </w: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r>
              <w:rPr>
                <w:rFonts w:ascii="Arial" w:hAnsi="Arial" w:cs="Arial"/>
                <w:color w:val="FFFFFF"/>
                <w:sz w:val="16"/>
                <w:szCs w:val="16"/>
              </w:rPr>
              <w:t>Day</w:t>
            </w: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r>
              <w:rPr>
                <w:rFonts w:ascii="Arial" w:hAnsi="Arial" w:cs="Arial"/>
                <w:color w:val="FFFFFF"/>
                <w:sz w:val="16"/>
                <w:szCs w:val="16"/>
              </w:rPr>
              <w:t>Night</w:t>
            </w:r>
          </w:p>
        </w:tc>
        <w:tc>
          <w:tcPr>
            <w:tcW w:w="1756"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p>
        </w:tc>
      </w:tr>
      <w:tr w:rsidR="000A4166">
        <w:trPr>
          <w:trHeight w:val="478"/>
        </w:trPr>
        <w:tc>
          <w:tcPr>
            <w:tcW w:w="1805" w:type="dxa"/>
            <w:tcBorders>
              <w:top w:val="single" w:sz="6" w:space="0" w:color="auto"/>
              <w:left w:val="single" w:sz="6" w:space="0" w:color="auto"/>
              <w:bottom w:val="single" w:sz="6" w:space="0" w:color="auto"/>
              <w:right w:val="single" w:sz="6" w:space="0" w:color="auto"/>
            </w:tcBorders>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322" w:type="dxa"/>
            <w:tcBorders>
              <w:top w:val="single" w:sz="6" w:space="0" w:color="auto"/>
              <w:left w:val="single" w:sz="6" w:space="0" w:color="auto"/>
              <w:bottom w:val="single" w:sz="6" w:space="0" w:color="auto"/>
              <w:right w:val="single" w:sz="6" w:space="0" w:color="auto"/>
            </w:tcBorders>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r>
              <w:rPr>
                <w:rFonts w:ascii="Arial" w:hAnsi="Arial" w:cs="Arial"/>
                <w:color w:val="FFFFFF"/>
                <w:sz w:val="16"/>
                <w:szCs w:val="16"/>
              </w:rPr>
              <w:t xml:space="preserve">Average fill rate - registered nurses/ </w:t>
            </w:r>
            <w:proofErr w:type="gramStart"/>
            <w:r>
              <w:rPr>
                <w:rFonts w:ascii="Arial" w:hAnsi="Arial" w:cs="Arial"/>
                <w:color w:val="FFFFFF"/>
                <w:sz w:val="16"/>
                <w:szCs w:val="16"/>
              </w:rPr>
              <w:t>midwives  (</w:t>
            </w:r>
            <w:proofErr w:type="gramEnd"/>
            <w:r>
              <w:rPr>
                <w:rFonts w:ascii="Arial" w:hAnsi="Arial" w:cs="Arial"/>
                <w:color w:val="FFFFFF"/>
                <w:sz w:val="16"/>
                <w:szCs w:val="16"/>
              </w:rPr>
              <w:t>%)</w:t>
            </w: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r>
              <w:rPr>
                <w:rFonts w:ascii="Arial" w:hAnsi="Arial" w:cs="Arial"/>
                <w:color w:val="FFFFFF"/>
                <w:sz w:val="16"/>
                <w:szCs w:val="16"/>
              </w:rPr>
              <w:t>Average fill rate - care staff (%)</w:t>
            </w: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r>
              <w:rPr>
                <w:rFonts w:ascii="Arial" w:hAnsi="Arial" w:cs="Arial"/>
                <w:color w:val="FFFFFF"/>
                <w:sz w:val="16"/>
                <w:szCs w:val="16"/>
              </w:rPr>
              <w:t xml:space="preserve">Average fill rate - registered nurses/ </w:t>
            </w:r>
            <w:proofErr w:type="gramStart"/>
            <w:r>
              <w:rPr>
                <w:rFonts w:ascii="Arial" w:hAnsi="Arial" w:cs="Arial"/>
                <w:color w:val="FFFFFF"/>
                <w:sz w:val="16"/>
                <w:szCs w:val="16"/>
              </w:rPr>
              <w:t>midwives  (</w:t>
            </w:r>
            <w:proofErr w:type="gramEnd"/>
            <w:r>
              <w:rPr>
                <w:rFonts w:ascii="Arial" w:hAnsi="Arial" w:cs="Arial"/>
                <w:color w:val="FFFFFF"/>
                <w:sz w:val="16"/>
                <w:szCs w:val="16"/>
              </w:rPr>
              <w:t>%)</w:t>
            </w:r>
          </w:p>
        </w:tc>
        <w:tc>
          <w:tcPr>
            <w:tcW w:w="1756"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FFFFFF"/>
                <w:sz w:val="16"/>
                <w:szCs w:val="16"/>
              </w:rPr>
            </w:pPr>
            <w:r>
              <w:rPr>
                <w:rFonts w:ascii="Arial" w:hAnsi="Arial" w:cs="Arial"/>
                <w:color w:val="FFFFFF"/>
                <w:sz w:val="16"/>
                <w:szCs w:val="16"/>
              </w:rPr>
              <w:t>Average fill rate - care staff (%)</w:t>
            </w:r>
          </w:p>
        </w:tc>
      </w:tr>
      <w:tr w:rsidR="000A4166">
        <w:trPr>
          <w:trHeight w:val="230"/>
        </w:trPr>
        <w:tc>
          <w:tcPr>
            <w:tcW w:w="1805" w:type="dxa"/>
            <w:tcBorders>
              <w:top w:val="single" w:sz="6" w:space="0" w:color="auto"/>
              <w:left w:val="single" w:sz="6" w:space="0" w:color="auto"/>
              <w:bottom w:val="single" w:sz="6" w:space="0" w:color="auto"/>
              <w:right w:val="single" w:sz="6" w:space="0" w:color="auto"/>
            </w:tcBorders>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322" w:type="dxa"/>
            <w:tcBorders>
              <w:top w:val="single" w:sz="6" w:space="0" w:color="auto"/>
              <w:left w:val="single" w:sz="6" w:space="0" w:color="auto"/>
              <w:bottom w:val="single" w:sz="6" w:space="0" w:color="auto"/>
              <w:right w:val="single" w:sz="6" w:space="0" w:color="auto"/>
            </w:tcBorders>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757"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shd w:val="solid" w:color="0066CC" w:fill="auto"/>
          </w:tcPr>
          <w:p w:rsidR="000A4166" w:rsidRDefault="000A4166">
            <w:pPr>
              <w:autoSpaceDE w:val="0"/>
              <w:autoSpaceDN w:val="0"/>
              <w:adjustRightInd w:val="0"/>
              <w:spacing w:after="0" w:line="240" w:lineRule="auto"/>
              <w:jc w:val="center"/>
              <w:rPr>
                <w:rFonts w:ascii="Arial" w:hAnsi="Arial" w:cs="Arial"/>
                <w:color w:val="000000"/>
                <w:sz w:val="16"/>
                <w:szCs w:val="16"/>
              </w:rPr>
            </w:pPr>
          </w:p>
        </w:tc>
      </w:tr>
      <w:tr w:rsidR="000A4166">
        <w:trPr>
          <w:trHeight w:val="624"/>
        </w:trPr>
        <w:tc>
          <w:tcPr>
            <w:tcW w:w="1805" w:type="dxa"/>
            <w:tcBorders>
              <w:top w:val="nil"/>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nil"/>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Acute Stroke Unit</w:t>
            </w:r>
          </w:p>
        </w:tc>
        <w:tc>
          <w:tcPr>
            <w:tcW w:w="1757" w:type="dxa"/>
            <w:tcBorders>
              <w:top w:val="nil"/>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89.7%</w:t>
            </w:r>
          </w:p>
        </w:tc>
        <w:tc>
          <w:tcPr>
            <w:tcW w:w="1757" w:type="dxa"/>
            <w:tcBorders>
              <w:top w:val="nil"/>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97.5%</w:t>
            </w:r>
          </w:p>
        </w:tc>
        <w:tc>
          <w:tcPr>
            <w:tcW w:w="1757" w:type="dxa"/>
            <w:tcBorders>
              <w:top w:val="nil"/>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89.3%</w:t>
            </w:r>
          </w:p>
        </w:tc>
        <w:tc>
          <w:tcPr>
            <w:tcW w:w="1756" w:type="dxa"/>
            <w:tcBorders>
              <w:top w:val="nil"/>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107.5%</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Avon 2</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90.0%</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78.9%</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Avon 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92.2%</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80.0%</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108.3%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Avon 4</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73.9%</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97.0%</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76.7%</w:t>
            </w:r>
          </w:p>
        </w:tc>
        <w:tc>
          <w:tcPr>
            <w:tcW w:w="1756"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79.2%</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Beech A</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96.1%</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95.6%</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66.7%</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101.7%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Beech B</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61.7%</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101.7%</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63.3%</w:t>
            </w:r>
          </w:p>
        </w:tc>
        <w:tc>
          <w:tcPr>
            <w:tcW w:w="1756"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Beech C</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86.1%</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68.9%</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Coronary Care</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93.3%</w:t>
            </w:r>
          </w:p>
        </w:tc>
        <w:tc>
          <w:tcPr>
            <w:tcW w:w="1756"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Critical Care</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82.8%</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83.3%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84.4%</w:t>
            </w:r>
          </w:p>
        </w:tc>
        <w:tc>
          <w:tcPr>
            <w:tcW w:w="1756"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Critical Care</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75.0%</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98.0%</w:t>
            </w:r>
          </w:p>
        </w:tc>
        <w:tc>
          <w:tcPr>
            <w:tcW w:w="1756"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EGAU/ANW Gynaecology</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97.5%</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74.2%</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90.0%</w:t>
            </w:r>
          </w:p>
        </w:tc>
        <w:tc>
          <w:tcPr>
            <w:tcW w:w="1756"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Evergreen</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79.6%</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116.3%</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67.8%</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131.1%</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Head and Neck</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6"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53.3%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Laurel 1</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100.6%</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87.5%</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120.0%</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Laurel 2</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105.0%</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90.8%</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99.2%</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108.3%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Laurel 3</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75.0%</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72.2%</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75.8%</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Laurel CCU</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92.9%</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97.5%</w:t>
            </w:r>
          </w:p>
        </w:tc>
        <w:tc>
          <w:tcPr>
            <w:tcW w:w="1756"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Lavender Suites</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79.6%</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76.1%</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90.3%</w:t>
            </w:r>
          </w:p>
        </w:tc>
        <w:tc>
          <w:tcPr>
            <w:tcW w:w="1756"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75.2%</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Medical Assessment Unit</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95.3%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98.3%</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94.4%</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Medical Assessment Unit</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86.0%</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92.0%</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81.1%</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Medical Short Stay</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92.7%</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72.2%</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101.1%</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Neonatal TCU</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91.7%</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Neonatal Unit</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83.7%</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135.6%</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Riverbank</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92.2%</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80.0%</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SCDU</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88.9%</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193.3%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Silver Oncology Ward </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85.8%</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90.0%</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Surgical High Care Unit</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83.3%</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Trauma and Orthopaedic A</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66.1%</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135.8%</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Trauma and Orthopaedic B</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94.2%</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82.5%</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102.2%</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WORCESTERSHIRE ROYAL HOSPITAL - RWP50</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Vascular Unit</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82.3%</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67.8%</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6"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50.0%</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KIDDERMINSTER HOSPITAL - RWP31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101.7%</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105.0%</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6" w:type="dxa"/>
            <w:tcBorders>
              <w:top w:val="single" w:sz="6" w:space="0" w:color="auto"/>
              <w:left w:val="single" w:sz="6" w:space="0" w:color="auto"/>
              <w:bottom w:val="single" w:sz="6" w:space="0" w:color="auto"/>
              <w:right w:val="single" w:sz="6" w:space="0" w:color="auto"/>
            </w:tcBorders>
            <w:shd w:val="solid" w:color="FFFFFF"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10</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91.7%</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83.3%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11</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65.0%</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89.6%</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143.3%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163.3%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12</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101.7%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14</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88.3%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97.8%</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16</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85.0%</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70.0%</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74.4%</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81.7%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17</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95.8%</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99.6%</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94.4%</w:t>
            </w:r>
          </w:p>
        </w:tc>
        <w:tc>
          <w:tcPr>
            <w:tcW w:w="1756"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90.8%</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18</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74.3%</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75.8%</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94.4%</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2</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102.8%</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103.9%</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75.6%</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166.7%</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5</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80.7%</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96.7%</w:t>
            </w:r>
          </w:p>
        </w:tc>
        <w:tc>
          <w:tcPr>
            <w:tcW w:w="1757" w:type="dxa"/>
            <w:tcBorders>
              <w:top w:val="single" w:sz="6" w:space="0" w:color="auto"/>
              <w:left w:val="single" w:sz="6" w:space="0" w:color="auto"/>
              <w:bottom w:val="single" w:sz="6" w:space="0" w:color="auto"/>
              <w:right w:val="single" w:sz="6" w:space="0" w:color="auto"/>
            </w:tcBorders>
            <w:shd w:val="solid" w:color="FFCC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82.7%</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138.3%</w:t>
            </w:r>
          </w:p>
        </w:tc>
      </w:tr>
      <w:tr w:rsidR="000A4166">
        <w:trPr>
          <w:trHeight w:val="624"/>
        </w:trPr>
        <w:tc>
          <w:tcPr>
            <w:tcW w:w="1805"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ALEXANDRA HOSPITAL - RWP01</w:t>
            </w:r>
          </w:p>
        </w:tc>
        <w:tc>
          <w:tcPr>
            <w:tcW w:w="1322" w:type="dxa"/>
            <w:tcBorders>
              <w:top w:val="single" w:sz="6" w:space="0" w:color="000000"/>
              <w:left w:val="single" w:sz="6" w:space="0" w:color="000000"/>
              <w:bottom w:val="single" w:sz="6" w:space="0" w:color="000000"/>
              <w:right w:val="single" w:sz="6" w:space="0" w:color="000000"/>
            </w:tcBorders>
            <w:shd w:val="solid" w:color="FFFFFF" w:fill="auto"/>
          </w:tcPr>
          <w:p w:rsidR="000A4166" w:rsidRDefault="000A4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Ward 6</w:t>
            </w:r>
          </w:p>
        </w:tc>
        <w:tc>
          <w:tcPr>
            <w:tcW w:w="1757" w:type="dxa"/>
            <w:tcBorders>
              <w:top w:val="single" w:sz="6" w:space="0" w:color="auto"/>
              <w:left w:val="single" w:sz="6" w:space="0" w:color="auto"/>
              <w:bottom w:val="single" w:sz="6" w:space="0" w:color="auto"/>
              <w:right w:val="single" w:sz="6" w:space="0" w:color="auto"/>
            </w:tcBorders>
            <w:shd w:val="solid" w:color="FF0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78.3%</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97.2%</w:t>
            </w:r>
          </w:p>
        </w:tc>
        <w:tc>
          <w:tcPr>
            <w:tcW w:w="1757"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100.0%</w:t>
            </w:r>
          </w:p>
        </w:tc>
        <w:tc>
          <w:tcPr>
            <w:tcW w:w="1756" w:type="dxa"/>
            <w:tcBorders>
              <w:top w:val="single" w:sz="6" w:space="0" w:color="auto"/>
              <w:left w:val="single" w:sz="6" w:space="0" w:color="auto"/>
              <w:bottom w:val="single" w:sz="6" w:space="0" w:color="auto"/>
              <w:right w:val="single" w:sz="6" w:space="0" w:color="auto"/>
            </w:tcBorders>
            <w:shd w:val="solid" w:color="008000" w:fill="auto"/>
          </w:tcPr>
          <w:p w:rsidR="000A4166" w:rsidRDefault="000A416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103.3%</w:t>
            </w:r>
          </w:p>
        </w:tc>
      </w:tr>
    </w:tbl>
    <w:p w:rsidR="000A4166" w:rsidRDefault="000A4166"/>
    <w:p w:rsidR="000A4166" w:rsidRDefault="000A4166"/>
    <w:p w:rsidR="00C40AF4" w:rsidRDefault="00C40AF4"/>
    <w:p w:rsidR="00C40AF4" w:rsidRDefault="00C40AF4">
      <w:r>
        <w:br w:type="page"/>
      </w:r>
      <w:r w:rsidR="005C27A3">
        <w:lastRenderedPageBreak/>
        <w:t xml:space="preserve">JULY 2018 </w:t>
      </w:r>
    </w:p>
    <w:p w:rsidR="005C27A3" w:rsidRDefault="005C27A3"/>
    <w:tbl>
      <w:tblPr>
        <w:tblW w:w="10080" w:type="dxa"/>
        <w:tblInd w:w="93" w:type="dxa"/>
        <w:tblLayout w:type="fixed"/>
        <w:tblLook w:val="04A0" w:firstRow="1" w:lastRow="0" w:firstColumn="1" w:lastColumn="0" w:noHBand="0" w:noVBand="1"/>
      </w:tblPr>
      <w:tblGrid>
        <w:gridCol w:w="2000"/>
        <w:gridCol w:w="1417"/>
        <w:gridCol w:w="1985"/>
        <w:gridCol w:w="1559"/>
        <w:gridCol w:w="1559"/>
        <w:gridCol w:w="1560"/>
      </w:tblGrid>
      <w:tr w:rsidR="005C27A3" w:rsidRPr="005C27A3" w:rsidTr="005C27A3">
        <w:trPr>
          <w:trHeight w:val="24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27A3" w:rsidRPr="005C27A3" w:rsidRDefault="005C27A3" w:rsidP="005C27A3">
            <w:pPr>
              <w:spacing w:after="0" w:line="240" w:lineRule="auto"/>
              <w:jc w:val="center"/>
              <w:rPr>
                <w:rFonts w:ascii="Arial" w:eastAsia="Times New Roman" w:hAnsi="Arial" w:cs="Arial"/>
                <w:color w:val="000000"/>
                <w:sz w:val="16"/>
                <w:szCs w:val="16"/>
                <w:lang w:eastAsia="en-GB"/>
              </w:rPr>
            </w:pPr>
            <w:bookmarkStart w:id="1" w:name="RANGE!A1:F3"/>
            <w:r w:rsidRPr="005C27A3">
              <w:rPr>
                <w:rFonts w:ascii="Arial" w:eastAsia="Times New Roman" w:hAnsi="Arial" w:cs="Arial"/>
                <w:color w:val="000000"/>
                <w:sz w:val="16"/>
                <w:szCs w:val="16"/>
                <w:lang w:eastAsia="en-GB"/>
              </w:rPr>
              <w:t xml:space="preserve">HOSPITAL </w:t>
            </w:r>
            <w:bookmarkEnd w:id="1"/>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w:t>
            </w:r>
          </w:p>
        </w:tc>
        <w:tc>
          <w:tcPr>
            <w:tcW w:w="3544" w:type="dxa"/>
            <w:gridSpan w:val="2"/>
            <w:tcBorders>
              <w:top w:val="single" w:sz="4" w:space="0" w:color="auto"/>
              <w:left w:val="nil"/>
              <w:bottom w:val="single" w:sz="4" w:space="0" w:color="auto"/>
              <w:right w:val="single" w:sz="4" w:space="0" w:color="auto"/>
            </w:tcBorders>
            <w:shd w:val="clear" w:color="000000" w:fill="0070C0"/>
            <w:vAlign w:val="center"/>
            <w:hideMark/>
          </w:tcPr>
          <w:p w:rsidR="005C27A3" w:rsidRPr="005C27A3" w:rsidRDefault="005C27A3" w:rsidP="005C27A3">
            <w:pPr>
              <w:spacing w:after="0" w:line="240" w:lineRule="auto"/>
              <w:jc w:val="center"/>
              <w:rPr>
                <w:rFonts w:ascii="Arial" w:eastAsia="Times New Roman" w:hAnsi="Arial" w:cs="Arial"/>
                <w:b/>
                <w:bCs/>
                <w:color w:val="FFFFFF"/>
                <w:sz w:val="18"/>
                <w:szCs w:val="18"/>
                <w:lang w:eastAsia="en-GB"/>
              </w:rPr>
            </w:pPr>
            <w:r w:rsidRPr="005C27A3">
              <w:rPr>
                <w:rFonts w:ascii="Arial" w:eastAsia="Times New Roman" w:hAnsi="Arial" w:cs="Arial"/>
                <w:b/>
                <w:bCs/>
                <w:color w:val="FFFFFF"/>
                <w:sz w:val="18"/>
                <w:szCs w:val="18"/>
                <w:lang w:eastAsia="en-GB"/>
              </w:rPr>
              <w:t>Day</w:t>
            </w:r>
          </w:p>
        </w:tc>
        <w:tc>
          <w:tcPr>
            <w:tcW w:w="3119" w:type="dxa"/>
            <w:gridSpan w:val="2"/>
            <w:tcBorders>
              <w:top w:val="single" w:sz="4" w:space="0" w:color="auto"/>
              <w:left w:val="nil"/>
              <w:bottom w:val="single" w:sz="4" w:space="0" w:color="auto"/>
              <w:right w:val="single" w:sz="4" w:space="0" w:color="auto"/>
            </w:tcBorders>
            <w:shd w:val="clear" w:color="000000" w:fill="0070C0"/>
            <w:vAlign w:val="center"/>
            <w:hideMark/>
          </w:tcPr>
          <w:p w:rsidR="005C27A3" w:rsidRPr="005C27A3" w:rsidRDefault="005C27A3" w:rsidP="005C27A3">
            <w:pPr>
              <w:spacing w:after="0" w:line="240" w:lineRule="auto"/>
              <w:jc w:val="center"/>
              <w:rPr>
                <w:rFonts w:ascii="Arial" w:eastAsia="Times New Roman" w:hAnsi="Arial" w:cs="Arial"/>
                <w:b/>
                <w:bCs/>
                <w:color w:val="FFFFFF"/>
                <w:sz w:val="18"/>
                <w:szCs w:val="18"/>
                <w:lang w:eastAsia="en-GB"/>
              </w:rPr>
            </w:pPr>
            <w:r w:rsidRPr="005C27A3">
              <w:rPr>
                <w:rFonts w:ascii="Arial" w:eastAsia="Times New Roman" w:hAnsi="Arial" w:cs="Arial"/>
                <w:b/>
                <w:bCs/>
                <w:color w:val="FFFFFF"/>
                <w:sz w:val="18"/>
                <w:szCs w:val="18"/>
                <w:lang w:eastAsia="en-GB"/>
              </w:rPr>
              <w:t>Night</w:t>
            </w:r>
          </w:p>
        </w:tc>
      </w:tr>
      <w:tr w:rsidR="005C27A3" w:rsidRPr="005C27A3" w:rsidTr="005C27A3">
        <w:trPr>
          <w:trHeight w:val="24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p>
        </w:tc>
        <w:tc>
          <w:tcPr>
            <w:tcW w:w="1985" w:type="dxa"/>
            <w:vMerge w:val="restart"/>
            <w:tcBorders>
              <w:top w:val="nil"/>
              <w:left w:val="single" w:sz="4" w:space="0" w:color="auto"/>
              <w:bottom w:val="single" w:sz="4" w:space="0" w:color="auto"/>
              <w:right w:val="single" w:sz="4" w:space="0" w:color="auto"/>
            </w:tcBorders>
            <w:shd w:val="clear" w:color="000000" w:fill="0070C0"/>
            <w:vAlign w:val="center"/>
            <w:hideMark/>
          </w:tcPr>
          <w:p w:rsidR="005C27A3" w:rsidRPr="005C27A3" w:rsidRDefault="005C27A3" w:rsidP="005C27A3">
            <w:pPr>
              <w:spacing w:after="0" w:line="240" w:lineRule="auto"/>
              <w:jc w:val="center"/>
              <w:rPr>
                <w:rFonts w:ascii="Arial" w:eastAsia="Times New Roman" w:hAnsi="Arial" w:cs="Arial"/>
                <w:b/>
                <w:bCs/>
                <w:color w:val="FFFFFF"/>
                <w:sz w:val="18"/>
                <w:szCs w:val="18"/>
                <w:lang w:eastAsia="en-GB"/>
              </w:rPr>
            </w:pPr>
            <w:r w:rsidRPr="005C27A3">
              <w:rPr>
                <w:rFonts w:ascii="Arial" w:eastAsia="Times New Roman" w:hAnsi="Arial" w:cs="Arial"/>
                <w:b/>
                <w:bCs/>
                <w:color w:val="FFFFFF"/>
                <w:sz w:val="18"/>
                <w:szCs w:val="18"/>
                <w:lang w:eastAsia="en-GB"/>
              </w:rPr>
              <w:t xml:space="preserve">Average fill rate - registered nurses/ </w:t>
            </w:r>
            <w:proofErr w:type="gramStart"/>
            <w:r w:rsidRPr="005C27A3">
              <w:rPr>
                <w:rFonts w:ascii="Arial" w:eastAsia="Times New Roman" w:hAnsi="Arial" w:cs="Arial"/>
                <w:b/>
                <w:bCs/>
                <w:color w:val="FFFFFF"/>
                <w:sz w:val="18"/>
                <w:szCs w:val="18"/>
                <w:lang w:eastAsia="en-GB"/>
              </w:rPr>
              <w:t>midwives  (</w:t>
            </w:r>
            <w:proofErr w:type="gramEnd"/>
            <w:r w:rsidRPr="005C27A3">
              <w:rPr>
                <w:rFonts w:ascii="Arial" w:eastAsia="Times New Roman" w:hAnsi="Arial" w:cs="Arial"/>
                <w:b/>
                <w:bCs/>
                <w:color w:val="FFFFFF"/>
                <w:sz w:val="18"/>
                <w:szCs w:val="18"/>
                <w:lang w:eastAsia="en-GB"/>
              </w:rPr>
              <w:t>%)</w:t>
            </w:r>
          </w:p>
        </w:tc>
        <w:tc>
          <w:tcPr>
            <w:tcW w:w="1559" w:type="dxa"/>
            <w:vMerge w:val="restart"/>
            <w:tcBorders>
              <w:top w:val="nil"/>
              <w:left w:val="single" w:sz="4" w:space="0" w:color="auto"/>
              <w:bottom w:val="single" w:sz="4" w:space="0" w:color="auto"/>
              <w:right w:val="single" w:sz="4" w:space="0" w:color="auto"/>
            </w:tcBorders>
            <w:shd w:val="clear" w:color="000000" w:fill="0070C0"/>
            <w:vAlign w:val="center"/>
            <w:hideMark/>
          </w:tcPr>
          <w:p w:rsidR="005C27A3" w:rsidRPr="005C27A3" w:rsidRDefault="005C27A3" w:rsidP="005C27A3">
            <w:pPr>
              <w:spacing w:after="0" w:line="240" w:lineRule="auto"/>
              <w:jc w:val="center"/>
              <w:rPr>
                <w:rFonts w:ascii="Arial" w:eastAsia="Times New Roman" w:hAnsi="Arial" w:cs="Arial"/>
                <w:b/>
                <w:bCs/>
                <w:color w:val="FFFFFF"/>
                <w:sz w:val="18"/>
                <w:szCs w:val="18"/>
                <w:lang w:eastAsia="en-GB"/>
              </w:rPr>
            </w:pPr>
            <w:r w:rsidRPr="005C27A3">
              <w:rPr>
                <w:rFonts w:ascii="Arial" w:eastAsia="Times New Roman" w:hAnsi="Arial" w:cs="Arial"/>
                <w:b/>
                <w:bCs/>
                <w:color w:val="FFFFFF"/>
                <w:sz w:val="18"/>
                <w:szCs w:val="18"/>
                <w:lang w:eastAsia="en-GB"/>
              </w:rPr>
              <w:t>Average fill rate - care staff (%)</w:t>
            </w:r>
          </w:p>
        </w:tc>
        <w:tc>
          <w:tcPr>
            <w:tcW w:w="1559" w:type="dxa"/>
            <w:vMerge w:val="restart"/>
            <w:tcBorders>
              <w:top w:val="nil"/>
              <w:left w:val="single" w:sz="4" w:space="0" w:color="auto"/>
              <w:bottom w:val="single" w:sz="4" w:space="0" w:color="auto"/>
              <w:right w:val="single" w:sz="4" w:space="0" w:color="auto"/>
            </w:tcBorders>
            <w:shd w:val="clear" w:color="000000" w:fill="0070C0"/>
            <w:vAlign w:val="center"/>
            <w:hideMark/>
          </w:tcPr>
          <w:p w:rsidR="005C27A3" w:rsidRPr="005C27A3" w:rsidRDefault="005C27A3" w:rsidP="005C27A3">
            <w:pPr>
              <w:spacing w:after="0" w:line="240" w:lineRule="auto"/>
              <w:jc w:val="center"/>
              <w:rPr>
                <w:rFonts w:ascii="Arial" w:eastAsia="Times New Roman" w:hAnsi="Arial" w:cs="Arial"/>
                <w:b/>
                <w:bCs/>
                <w:color w:val="FFFFFF"/>
                <w:sz w:val="18"/>
                <w:szCs w:val="18"/>
                <w:lang w:eastAsia="en-GB"/>
              </w:rPr>
            </w:pPr>
            <w:r w:rsidRPr="005C27A3">
              <w:rPr>
                <w:rFonts w:ascii="Arial" w:eastAsia="Times New Roman" w:hAnsi="Arial" w:cs="Arial"/>
                <w:b/>
                <w:bCs/>
                <w:color w:val="FFFFFF"/>
                <w:sz w:val="18"/>
                <w:szCs w:val="18"/>
                <w:lang w:eastAsia="en-GB"/>
              </w:rPr>
              <w:t xml:space="preserve">Average fill rate - registered nurses/ </w:t>
            </w:r>
            <w:proofErr w:type="gramStart"/>
            <w:r w:rsidRPr="005C27A3">
              <w:rPr>
                <w:rFonts w:ascii="Arial" w:eastAsia="Times New Roman" w:hAnsi="Arial" w:cs="Arial"/>
                <w:b/>
                <w:bCs/>
                <w:color w:val="FFFFFF"/>
                <w:sz w:val="18"/>
                <w:szCs w:val="18"/>
                <w:lang w:eastAsia="en-GB"/>
              </w:rPr>
              <w:t>midwives  (</w:t>
            </w:r>
            <w:proofErr w:type="gramEnd"/>
            <w:r w:rsidRPr="005C27A3">
              <w:rPr>
                <w:rFonts w:ascii="Arial" w:eastAsia="Times New Roman" w:hAnsi="Arial" w:cs="Arial"/>
                <w:b/>
                <w:bCs/>
                <w:color w:val="FFFFFF"/>
                <w:sz w:val="18"/>
                <w:szCs w:val="18"/>
                <w:lang w:eastAsia="en-GB"/>
              </w:rPr>
              <w:t>%)</w:t>
            </w:r>
          </w:p>
        </w:tc>
        <w:tc>
          <w:tcPr>
            <w:tcW w:w="1560" w:type="dxa"/>
            <w:vMerge w:val="restart"/>
            <w:tcBorders>
              <w:top w:val="nil"/>
              <w:left w:val="single" w:sz="4" w:space="0" w:color="auto"/>
              <w:bottom w:val="single" w:sz="4" w:space="0" w:color="auto"/>
              <w:right w:val="single" w:sz="4" w:space="0" w:color="auto"/>
            </w:tcBorders>
            <w:shd w:val="clear" w:color="000000" w:fill="0070C0"/>
            <w:vAlign w:val="center"/>
            <w:hideMark/>
          </w:tcPr>
          <w:p w:rsidR="005C27A3" w:rsidRPr="005C27A3" w:rsidRDefault="005C27A3" w:rsidP="005C27A3">
            <w:pPr>
              <w:spacing w:after="0" w:line="240" w:lineRule="auto"/>
              <w:jc w:val="center"/>
              <w:rPr>
                <w:rFonts w:ascii="Arial" w:eastAsia="Times New Roman" w:hAnsi="Arial" w:cs="Arial"/>
                <w:b/>
                <w:bCs/>
                <w:color w:val="FFFFFF"/>
                <w:sz w:val="18"/>
                <w:szCs w:val="18"/>
                <w:lang w:eastAsia="en-GB"/>
              </w:rPr>
            </w:pPr>
            <w:r w:rsidRPr="005C27A3">
              <w:rPr>
                <w:rFonts w:ascii="Arial" w:eastAsia="Times New Roman" w:hAnsi="Arial" w:cs="Arial"/>
                <w:b/>
                <w:bCs/>
                <w:color w:val="FFFFFF"/>
                <w:sz w:val="18"/>
                <w:szCs w:val="18"/>
                <w:lang w:eastAsia="en-GB"/>
              </w:rPr>
              <w:t>Average fill rate - care staff (%)</w:t>
            </w:r>
          </w:p>
        </w:tc>
      </w:tr>
      <w:tr w:rsidR="005C27A3" w:rsidRPr="005C27A3" w:rsidTr="005C27A3">
        <w:trPr>
          <w:trHeight w:val="93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p>
        </w:tc>
        <w:tc>
          <w:tcPr>
            <w:tcW w:w="1985" w:type="dxa"/>
            <w:vMerge/>
            <w:tcBorders>
              <w:top w:val="nil"/>
              <w:left w:val="single" w:sz="4" w:space="0" w:color="auto"/>
              <w:bottom w:val="single" w:sz="4" w:space="0" w:color="auto"/>
              <w:right w:val="single" w:sz="4" w:space="0" w:color="auto"/>
            </w:tcBorders>
            <w:vAlign w:val="center"/>
            <w:hideMark/>
          </w:tcPr>
          <w:p w:rsidR="005C27A3" w:rsidRPr="005C27A3" w:rsidRDefault="005C27A3" w:rsidP="005C27A3">
            <w:pPr>
              <w:spacing w:after="0" w:line="240" w:lineRule="auto"/>
              <w:rPr>
                <w:rFonts w:ascii="Arial" w:eastAsia="Times New Roman" w:hAnsi="Arial" w:cs="Arial"/>
                <w:b/>
                <w:bCs/>
                <w:color w:val="FFFFFF"/>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5C27A3" w:rsidRPr="005C27A3" w:rsidRDefault="005C27A3" w:rsidP="005C27A3">
            <w:pPr>
              <w:spacing w:after="0" w:line="240" w:lineRule="auto"/>
              <w:rPr>
                <w:rFonts w:ascii="Arial" w:eastAsia="Times New Roman" w:hAnsi="Arial" w:cs="Arial"/>
                <w:b/>
                <w:bCs/>
                <w:color w:val="FFFFFF"/>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5C27A3" w:rsidRPr="005C27A3" w:rsidRDefault="005C27A3" w:rsidP="005C27A3">
            <w:pPr>
              <w:spacing w:after="0" w:line="240" w:lineRule="auto"/>
              <w:rPr>
                <w:rFonts w:ascii="Arial" w:eastAsia="Times New Roman" w:hAnsi="Arial" w:cs="Arial"/>
                <w:b/>
                <w:bCs/>
                <w:color w:val="FFFFFF"/>
                <w:sz w:val="18"/>
                <w:szCs w:val="18"/>
                <w:lang w:eastAsia="en-GB"/>
              </w:rPr>
            </w:pPr>
          </w:p>
        </w:tc>
        <w:tc>
          <w:tcPr>
            <w:tcW w:w="1560" w:type="dxa"/>
            <w:vMerge/>
            <w:tcBorders>
              <w:top w:val="nil"/>
              <w:left w:val="single" w:sz="4" w:space="0" w:color="auto"/>
              <w:bottom w:val="single" w:sz="4" w:space="0" w:color="auto"/>
              <w:right w:val="single" w:sz="4" w:space="0" w:color="auto"/>
            </w:tcBorders>
            <w:vAlign w:val="center"/>
            <w:hideMark/>
          </w:tcPr>
          <w:p w:rsidR="005C27A3" w:rsidRPr="005C27A3" w:rsidRDefault="005C27A3" w:rsidP="005C27A3">
            <w:pPr>
              <w:spacing w:after="0" w:line="240" w:lineRule="auto"/>
              <w:rPr>
                <w:rFonts w:ascii="Arial" w:eastAsia="Times New Roman" w:hAnsi="Arial" w:cs="Arial"/>
                <w:b/>
                <w:bCs/>
                <w:color w:val="FFFFFF"/>
                <w:sz w:val="18"/>
                <w:szCs w:val="18"/>
                <w:lang w:eastAsia="en-GB"/>
              </w:rPr>
            </w:pP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Acute Stroke Unit</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78.8%</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88.4%</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84.5%</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90.3%</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Avon 2</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95.7%</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98.4%</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76.3%</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119.4%</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Avon 3</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90.3%</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101.6%</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75.3%</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111.3%</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Avon 4</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84.4%</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122.3%</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71.0%</w:t>
            </w:r>
          </w:p>
        </w:tc>
        <w:tc>
          <w:tcPr>
            <w:tcW w:w="1560"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88.7%</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Beech A</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96.8%</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95.2%</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67.7%</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103.2%</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Beech B</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69.4%</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104.8%</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69.4%</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61.3%</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Beech C</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87.6%</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73.1%</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100.0%</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100.0%</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Coronary Care</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96.8%</w:t>
            </w:r>
          </w:p>
        </w:tc>
        <w:tc>
          <w:tcPr>
            <w:tcW w:w="1559"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95.2%</w:t>
            </w:r>
          </w:p>
        </w:tc>
        <w:tc>
          <w:tcPr>
            <w:tcW w:w="1560"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Critical Care</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77.7%</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32.3%</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84.4%</w:t>
            </w:r>
          </w:p>
        </w:tc>
        <w:tc>
          <w:tcPr>
            <w:tcW w:w="1560"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Critical Care</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96.9%</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38.7%</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93.9%</w:t>
            </w:r>
          </w:p>
        </w:tc>
        <w:tc>
          <w:tcPr>
            <w:tcW w:w="1560"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EGAU/ANW Gynaecology</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91.1%</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78.2%</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85.5%</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69.4%</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Evergreen</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79.0%</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116.1%</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65.6%</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144.1%</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Head and Neck</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99.2%</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87.9%</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98.4%</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51.6%</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Laurel 1</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100.5%</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99.2%</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100.0%</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141.9%</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Laurel 2</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96.0%</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96.8%</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71.8%</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72.6%</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Laurel 3</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79.4%</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75.3%</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84.7%</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122.6%</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lastRenderedPageBreak/>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Laurel CCU</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91.5%</w:t>
            </w:r>
          </w:p>
        </w:tc>
        <w:tc>
          <w:tcPr>
            <w:tcW w:w="1559"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98.4%</w:t>
            </w:r>
          </w:p>
        </w:tc>
        <w:tc>
          <w:tcPr>
            <w:tcW w:w="1560"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Lavender Suites</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82.2%</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84.1%</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90.6%</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100.9%</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MAU</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96.2%</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90.6%</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91.9%</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91.9%</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Medical Assessment Unit</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85.8%</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108.6%</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83.2%</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97.8%</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Medical Short Stay</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88.4%</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70.4%</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96.0%</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103.2%</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Neonatal TCU</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91.9%</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96.8%</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87.1%</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90.3%</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Neonatal Unit</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81.0%</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72.6%</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80.6%</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48.4%</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Riverbank</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90.0%</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69.4%</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96.2%</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103.2%</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SCDU</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93.0%</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104.8%</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98.4%</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187.1%</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sz w:val="18"/>
                <w:szCs w:val="18"/>
                <w:lang w:eastAsia="en-GB"/>
              </w:rPr>
            </w:pPr>
            <w:r w:rsidRPr="005C27A3">
              <w:rPr>
                <w:rFonts w:ascii="Arial" w:eastAsia="Times New Roman" w:hAnsi="Arial" w:cs="Arial"/>
                <w:sz w:val="18"/>
                <w:szCs w:val="18"/>
                <w:lang w:eastAsia="en-GB"/>
              </w:rPr>
              <w:t>Silver Oncology Unit</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114.0%</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91.9%</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94.6%</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100.0%</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Surgical High Care Unit</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94.6%</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103.2%</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90.3%</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103.2%</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Trauma and Orthopaedic A</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96.8%</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71.0%</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96.8%</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67.7%</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Trauma and Orthopaedic B</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95.2%</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83.1%</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91.9%</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75.0%</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WORCESTERSHIRE ROYAL HOSPITAL - RWP50</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Vascular Unit</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79.0%</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68.8%</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91.1%</w:t>
            </w:r>
          </w:p>
        </w:tc>
        <w:tc>
          <w:tcPr>
            <w:tcW w:w="1560"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50.0%</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KIDDERMINSTER TREATMENT CENTRE - RWPTC</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104.8%</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116.1%</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10</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92.5%</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95.2%</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100.0%</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100.0%</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11</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71.0%</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86.7%</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151.6%</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175.8%</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12</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85.1%</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100.4%</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103.2%</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99.2%</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14</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85.5%</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97.3%</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100.0%</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98.4%</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16</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79.8%</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75.4%</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73.1%</w:t>
            </w:r>
          </w:p>
        </w:tc>
        <w:tc>
          <w:tcPr>
            <w:tcW w:w="1560"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88.7%</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lastRenderedPageBreak/>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17</w:t>
            </w:r>
          </w:p>
        </w:tc>
        <w:tc>
          <w:tcPr>
            <w:tcW w:w="1985"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87.9%</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101.2%</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100.0%</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97.6%</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18</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70.6%</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67.3%</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94.6%</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103.2%</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2</w:t>
            </w:r>
          </w:p>
        </w:tc>
        <w:tc>
          <w:tcPr>
            <w:tcW w:w="1985"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96.8%</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111.3%</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73.1%</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172.6%</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5</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78.1%</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93.5%</w:t>
            </w:r>
          </w:p>
        </w:tc>
        <w:tc>
          <w:tcPr>
            <w:tcW w:w="1559"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76.1%</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106.5%</w:t>
            </w:r>
          </w:p>
        </w:tc>
      </w:tr>
      <w:tr w:rsidR="005C27A3" w:rsidRPr="005C27A3" w:rsidTr="005C27A3">
        <w:trPr>
          <w:trHeight w:val="600"/>
        </w:trPr>
        <w:tc>
          <w:tcPr>
            <w:tcW w:w="2000" w:type="dxa"/>
            <w:tcBorders>
              <w:top w:val="nil"/>
              <w:left w:val="single" w:sz="4" w:space="0" w:color="000000"/>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6"/>
                <w:szCs w:val="16"/>
                <w:lang w:eastAsia="en-GB"/>
              </w:rPr>
            </w:pPr>
            <w:r w:rsidRPr="005C27A3">
              <w:rPr>
                <w:rFonts w:ascii="Arial" w:eastAsia="Times New Roman" w:hAnsi="Arial" w:cs="Arial"/>
                <w:color w:val="000000"/>
                <w:sz w:val="16"/>
                <w:szCs w:val="16"/>
                <w:lang w:eastAsia="en-GB"/>
              </w:rPr>
              <w:t>ALEXANDRA HOSPITAL - RWP01</w:t>
            </w:r>
          </w:p>
        </w:tc>
        <w:tc>
          <w:tcPr>
            <w:tcW w:w="1417" w:type="dxa"/>
            <w:tcBorders>
              <w:top w:val="nil"/>
              <w:left w:val="nil"/>
              <w:bottom w:val="single" w:sz="4" w:space="0" w:color="000000"/>
              <w:right w:val="single" w:sz="4" w:space="0" w:color="000000"/>
            </w:tcBorders>
            <w:shd w:val="clear" w:color="000000" w:fill="FFFFFF"/>
            <w:vAlign w:val="center"/>
            <w:hideMark/>
          </w:tcPr>
          <w:p w:rsidR="005C27A3" w:rsidRPr="005C27A3" w:rsidRDefault="005C27A3" w:rsidP="005C27A3">
            <w:pPr>
              <w:spacing w:after="0" w:line="240" w:lineRule="auto"/>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Ward 6</w:t>
            </w:r>
          </w:p>
        </w:tc>
        <w:tc>
          <w:tcPr>
            <w:tcW w:w="1985" w:type="dxa"/>
            <w:tcBorders>
              <w:top w:val="nil"/>
              <w:left w:val="nil"/>
              <w:bottom w:val="single" w:sz="4" w:space="0" w:color="auto"/>
              <w:right w:val="single" w:sz="4" w:space="0" w:color="auto"/>
            </w:tcBorders>
            <w:shd w:val="clear" w:color="000000" w:fill="FF0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76.9%</w:t>
            </w:r>
          </w:p>
        </w:tc>
        <w:tc>
          <w:tcPr>
            <w:tcW w:w="1559"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97.3%</w:t>
            </w:r>
          </w:p>
        </w:tc>
        <w:tc>
          <w:tcPr>
            <w:tcW w:w="1559" w:type="dxa"/>
            <w:tcBorders>
              <w:top w:val="nil"/>
              <w:left w:val="nil"/>
              <w:bottom w:val="single" w:sz="4" w:space="0" w:color="auto"/>
              <w:right w:val="single" w:sz="4" w:space="0" w:color="auto"/>
            </w:tcBorders>
            <w:shd w:val="clear" w:color="000000" w:fill="FFC000"/>
            <w:noWrap/>
            <w:vAlign w:val="center"/>
            <w:hideMark/>
          </w:tcPr>
          <w:p w:rsidR="005C27A3" w:rsidRPr="005C27A3" w:rsidRDefault="005C27A3" w:rsidP="005C27A3">
            <w:pPr>
              <w:spacing w:after="0" w:line="240" w:lineRule="auto"/>
              <w:jc w:val="center"/>
              <w:rPr>
                <w:rFonts w:ascii="Arial" w:eastAsia="Times New Roman" w:hAnsi="Arial" w:cs="Arial"/>
                <w:sz w:val="18"/>
                <w:szCs w:val="18"/>
                <w:lang w:eastAsia="en-GB"/>
              </w:rPr>
            </w:pPr>
            <w:r w:rsidRPr="005C27A3">
              <w:rPr>
                <w:rFonts w:ascii="Arial" w:eastAsia="Times New Roman" w:hAnsi="Arial" w:cs="Arial"/>
                <w:sz w:val="18"/>
                <w:szCs w:val="18"/>
                <w:lang w:eastAsia="en-GB"/>
              </w:rPr>
              <w:t>88.7%</w:t>
            </w:r>
          </w:p>
        </w:tc>
        <w:tc>
          <w:tcPr>
            <w:tcW w:w="1560" w:type="dxa"/>
            <w:tcBorders>
              <w:top w:val="nil"/>
              <w:left w:val="nil"/>
              <w:bottom w:val="single" w:sz="4" w:space="0" w:color="auto"/>
              <w:right w:val="single" w:sz="4" w:space="0" w:color="auto"/>
            </w:tcBorders>
            <w:shd w:val="clear" w:color="000000" w:fill="00B050"/>
            <w:noWrap/>
            <w:vAlign w:val="center"/>
            <w:hideMark/>
          </w:tcPr>
          <w:p w:rsidR="005C27A3" w:rsidRPr="005C27A3" w:rsidRDefault="005C27A3" w:rsidP="005C27A3">
            <w:pPr>
              <w:spacing w:after="0" w:line="240" w:lineRule="auto"/>
              <w:jc w:val="center"/>
              <w:rPr>
                <w:rFonts w:ascii="Arial" w:eastAsia="Times New Roman" w:hAnsi="Arial" w:cs="Arial"/>
                <w:color w:val="000000"/>
                <w:sz w:val="18"/>
                <w:szCs w:val="18"/>
                <w:lang w:eastAsia="en-GB"/>
              </w:rPr>
            </w:pPr>
            <w:r w:rsidRPr="005C27A3">
              <w:rPr>
                <w:rFonts w:ascii="Arial" w:eastAsia="Times New Roman" w:hAnsi="Arial" w:cs="Arial"/>
                <w:color w:val="000000"/>
                <w:sz w:val="18"/>
                <w:szCs w:val="18"/>
                <w:lang w:eastAsia="en-GB"/>
              </w:rPr>
              <w:t>101.6%</w:t>
            </w:r>
          </w:p>
        </w:tc>
      </w:tr>
    </w:tbl>
    <w:p w:rsidR="005C27A3" w:rsidRDefault="005C27A3"/>
    <w:sectPr w:rsidR="005C27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88" w:rsidRDefault="00AA7F88" w:rsidP="00362FD7">
      <w:pPr>
        <w:spacing w:after="0" w:line="240" w:lineRule="auto"/>
      </w:pPr>
      <w:r>
        <w:separator/>
      </w:r>
    </w:p>
  </w:endnote>
  <w:endnote w:type="continuationSeparator" w:id="0">
    <w:p w:rsidR="00AA7F88" w:rsidRDefault="00AA7F88" w:rsidP="003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D99594" w:themeFill="accent2" w:themeFillTint="99"/>
      <w:tblLook w:val="04A0" w:firstRow="1" w:lastRow="0" w:firstColumn="1" w:lastColumn="0" w:noHBand="0" w:noVBand="1"/>
    </w:tblPr>
    <w:tblGrid>
      <w:gridCol w:w="6629"/>
      <w:gridCol w:w="2613"/>
    </w:tblGrid>
    <w:tr w:rsidR="0080567B" w:rsidRPr="009551FD" w:rsidTr="00143E19">
      <w:tc>
        <w:tcPr>
          <w:tcW w:w="6629" w:type="dxa"/>
          <w:shd w:val="clear" w:color="auto" w:fill="FBD4B4" w:themeFill="accent6" w:themeFillTint="66"/>
        </w:tcPr>
        <w:p w:rsidR="0080567B" w:rsidRPr="009551FD" w:rsidRDefault="0080567B" w:rsidP="00692BA3">
          <w:pPr>
            <w:pStyle w:val="Footer"/>
            <w:rPr>
              <w:rFonts w:ascii="Arial" w:hAnsi="Arial" w:cs="Arial"/>
            </w:rPr>
          </w:pPr>
          <w:r>
            <w:rPr>
              <w:rFonts w:ascii="Arial" w:hAnsi="Arial" w:cs="Arial"/>
            </w:rPr>
            <w:t>Safer Staffing –June and July 2018 data</w:t>
          </w:r>
        </w:p>
      </w:tc>
      <w:tc>
        <w:tcPr>
          <w:tcW w:w="2613" w:type="dxa"/>
          <w:shd w:val="clear" w:color="auto" w:fill="FBD4B4" w:themeFill="accent6" w:themeFillTint="66"/>
        </w:tcPr>
        <w:p w:rsidR="0080567B" w:rsidRPr="009551FD" w:rsidRDefault="0080567B" w:rsidP="00DC6768">
          <w:pPr>
            <w:pStyle w:val="Footer"/>
            <w:jc w:val="right"/>
            <w:rPr>
              <w:rFonts w:ascii="Arial" w:hAnsi="Arial" w:cs="Arial"/>
            </w:rPr>
          </w:pPr>
          <w:r w:rsidRPr="009551FD">
            <w:rPr>
              <w:rFonts w:ascii="Arial" w:hAnsi="Arial" w:cs="Arial"/>
            </w:rPr>
            <w:t xml:space="preserve">Page | </w:t>
          </w:r>
          <w:r w:rsidRPr="009551FD">
            <w:rPr>
              <w:rFonts w:ascii="Arial" w:hAnsi="Arial" w:cs="Arial"/>
            </w:rPr>
            <w:fldChar w:fldCharType="begin"/>
          </w:r>
          <w:r w:rsidRPr="009551FD">
            <w:rPr>
              <w:rFonts w:ascii="Arial" w:hAnsi="Arial" w:cs="Arial"/>
            </w:rPr>
            <w:instrText xml:space="preserve"> PAGE   \* MERGEFORMAT </w:instrText>
          </w:r>
          <w:r w:rsidRPr="009551FD">
            <w:rPr>
              <w:rFonts w:ascii="Arial" w:hAnsi="Arial" w:cs="Arial"/>
            </w:rPr>
            <w:fldChar w:fldCharType="separate"/>
          </w:r>
          <w:r w:rsidR="00127961">
            <w:rPr>
              <w:rFonts w:ascii="Arial" w:hAnsi="Arial" w:cs="Arial"/>
              <w:noProof/>
            </w:rPr>
            <w:t>1</w:t>
          </w:r>
          <w:r w:rsidRPr="009551FD">
            <w:rPr>
              <w:rFonts w:ascii="Arial" w:hAnsi="Arial" w:cs="Arial"/>
              <w:noProof/>
            </w:rPr>
            <w:fldChar w:fldCharType="end"/>
          </w:r>
        </w:p>
      </w:tc>
    </w:tr>
  </w:tbl>
  <w:p w:rsidR="0080567B" w:rsidRDefault="0080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88" w:rsidRDefault="00AA7F88" w:rsidP="00362FD7">
      <w:pPr>
        <w:spacing w:after="0" w:line="240" w:lineRule="auto"/>
      </w:pPr>
      <w:r>
        <w:separator/>
      </w:r>
    </w:p>
  </w:footnote>
  <w:footnote w:type="continuationSeparator" w:id="0">
    <w:p w:rsidR="00AA7F88" w:rsidRDefault="00AA7F88" w:rsidP="0036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7B" w:rsidRDefault="0080567B" w:rsidP="00362FD7">
    <w:pPr>
      <w:pStyle w:val="Header"/>
      <w:jc w:val="right"/>
    </w:pPr>
    <w:r>
      <w:rPr>
        <w:noProof/>
        <w:lang w:eastAsia="en-GB"/>
      </w:rPr>
      <w:drawing>
        <wp:inline distT="0" distB="0" distL="0" distR="0" wp14:anchorId="6CE38FDD" wp14:editId="71130DD0">
          <wp:extent cx="1062328" cy="6381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80567B" w:rsidRPr="002E4321" w:rsidRDefault="0080567B" w:rsidP="00362FD7">
    <w:pPr>
      <w:pStyle w:val="Header"/>
      <w:rPr>
        <w:i/>
        <w:color w:val="FF0000"/>
      </w:rPr>
    </w:pPr>
  </w:p>
  <w:tbl>
    <w:tblPr>
      <w:tblStyle w:val="TableGrid"/>
      <w:tblW w:w="0" w:type="auto"/>
      <w:tblInd w:w="5211" w:type="dxa"/>
      <w:shd w:val="clear" w:color="auto" w:fill="FBD4B4" w:themeFill="accent6" w:themeFillTint="66"/>
      <w:tblLook w:val="04A0" w:firstRow="1" w:lastRow="0" w:firstColumn="1" w:lastColumn="0" w:noHBand="0" w:noVBand="1"/>
    </w:tblPr>
    <w:tblGrid>
      <w:gridCol w:w="1985"/>
      <w:gridCol w:w="2046"/>
    </w:tblGrid>
    <w:tr w:rsidR="0080567B" w:rsidRPr="00840488" w:rsidTr="00143E19">
      <w:tc>
        <w:tcPr>
          <w:tcW w:w="1985" w:type="dxa"/>
          <w:shd w:val="clear" w:color="auto" w:fill="FBD4B4" w:themeFill="accent6" w:themeFillTint="66"/>
        </w:tcPr>
        <w:p w:rsidR="0080567B" w:rsidRPr="00840488" w:rsidRDefault="0080567B" w:rsidP="00DC6768">
          <w:pPr>
            <w:pStyle w:val="Header"/>
            <w:rPr>
              <w:rFonts w:ascii="Arial" w:hAnsi="Arial" w:cs="Arial"/>
              <w:sz w:val="20"/>
            </w:rPr>
          </w:pPr>
          <w:r w:rsidRPr="00840488">
            <w:rPr>
              <w:rFonts w:ascii="Arial" w:hAnsi="Arial" w:cs="Arial"/>
              <w:sz w:val="20"/>
            </w:rPr>
            <w:t>Date of meeting</w:t>
          </w:r>
        </w:p>
      </w:tc>
      <w:tc>
        <w:tcPr>
          <w:tcW w:w="2046" w:type="dxa"/>
          <w:shd w:val="clear" w:color="auto" w:fill="FBD4B4" w:themeFill="accent6" w:themeFillTint="66"/>
        </w:tcPr>
        <w:p w:rsidR="0080567B" w:rsidRPr="00840488" w:rsidRDefault="00127961" w:rsidP="00372013">
          <w:pPr>
            <w:pStyle w:val="Header"/>
            <w:rPr>
              <w:rFonts w:ascii="Arial" w:hAnsi="Arial" w:cs="Arial"/>
              <w:sz w:val="20"/>
            </w:rPr>
          </w:pPr>
          <w:r>
            <w:rPr>
              <w:rFonts w:ascii="Arial" w:hAnsi="Arial" w:cs="Arial"/>
              <w:sz w:val="20"/>
            </w:rPr>
            <w:t>13</w:t>
          </w:r>
          <w:r w:rsidR="0080567B">
            <w:rPr>
              <w:rFonts w:ascii="Arial" w:hAnsi="Arial" w:cs="Arial"/>
              <w:sz w:val="20"/>
            </w:rPr>
            <w:t xml:space="preserve"> September  2018</w:t>
          </w:r>
        </w:p>
      </w:tc>
    </w:tr>
    <w:tr w:rsidR="0080567B" w:rsidRPr="00840488" w:rsidTr="00143E19">
      <w:tc>
        <w:tcPr>
          <w:tcW w:w="1985" w:type="dxa"/>
          <w:shd w:val="clear" w:color="auto" w:fill="FBD4B4" w:themeFill="accent6" w:themeFillTint="66"/>
        </w:tcPr>
        <w:p w:rsidR="0080567B" w:rsidRPr="00840488" w:rsidRDefault="0080567B" w:rsidP="00DC6768">
          <w:pPr>
            <w:pStyle w:val="Header"/>
            <w:rPr>
              <w:rFonts w:ascii="Arial" w:hAnsi="Arial" w:cs="Arial"/>
              <w:sz w:val="20"/>
            </w:rPr>
          </w:pPr>
          <w:r w:rsidRPr="00840488">
            <w:rPr>
              <w:rFonts w:ascii="Arial" w:hAnsi="Arial" w:cs="Arial"/>
              <w:sz w:val="20"/>
            </w:rPr>
            <w:t>Paper number</w:t>
          </w:r>
        </w:p>
      </w:tc>
      <w:tc>
        <w:tcPr>
          <w:tcW w:w="2046" w:type="dxa"/>
          <w:shd w:val="clear" w:color="auto" w:fill="FBD4B4" w:themeFill="accent6" w:themeFillTint="66"/>
        </w:tcPr>
        <w:p w:rsidR="0080567B" w:rsidRPr="00840488" w:rsidRDefault="00E6298F" w:rsidP="00DC6768">
          <w:pPr>
            <w:pStyle w:val="Header"/>
            <w:rPr>
              <w:rFonts w:ascii="Arial" w:hAnsi="Arial" w:cs="Arial"/>
              <w:sz w:val="20"/>
            </w:rPr>
          </w:pPr>
          <w:proofErr w:type="spellStart"/>
          <w:r>
            <w:rPr>
              <w:rFonts w:ascii="Arial" w:hAnsi="Arial" w:cs="Arial"/>
              <w:sz w:val="20"/>
            </w:rPr>
            <w:t>F2</w:t>
          </w:r>
          <w:proofErr w:type="spellEnd"/>
        </w:p>
      </w:tc>
    </w:tr>
  </w:tbl>
  <w:p w:rsidR="0080567B" w:rsidRDefault="00805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5F5"/>
    <w:multiLevelType w:val="hybridMultilevel"/>
    <w:tmpl w:val="02D02FF6"/>
    <w:lvl w:ilvl="0" w:tplc="47C0E7E6">
      <w:start w:val="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78906FA"/>
    <w:multiLevelType w:val="hybridMultilevel"/>
    <w:tmpl w:val="37E46EAC"/>
    <w:lvl w:ilvl="0" w:tplc="18888914">
      <w:start w:val="353"/>
      <w:numFmt w:val="bullet"/>
      <w:lvlText w:val="-"/>
      <w:lvlJc w:val="left"/>
      <w:pPr>
        <w:ind w:left="720" w:hanging="360"/>
      </w:pPr>
      <w:rPr>
        <w:rFonts w:ascii="Calibri" w:eastAsiaTheme="minorHAnsi" w:hAnsi="Calibri"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33F0B"/>
    <w:multiLevelType w:val="hybridMultilevel"/>
    <w:tmpl w:val="2324A710"/>
    <w:lvl w:ilvl="0" w:tplc="3D5AFD8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4C1C26"/>
    <w:multiLevelType w:val="hybridMultilevel"/>
    <w:tmpl w:val="30D6DCA8"/>
    <w:lvl w:ilvl="0" w:tplc="424490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727E5"/>
    <w:multiLevelType w:val="hybridMultilevel"/>
    <w:tmpl w:val="07D4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6344E"/>
    <w:multiLevelType w:val="hybridMultilevel"/>
    <w:tmpl w:val="EA5A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E6601"/>
    <w:multiLevelType w:val="hybridMultilevel"/>
    <w:tmpl w:val="5BBA5062"/>
    <w:lvl w:ilvl="0" w:tplc="032050C8">
      <w:start w:val="353"/>
      <w:numFmt w:val="bullet"/>
      <w:lvlText w:val="-"/>
      <w:lvlJc w:val="left"/>
      <w:pPr>
        <w:ind w:left="1080" w:hanging="360"/>
      </w:pPr>
      <w:rPr>
        <w:rFonts w:ascii="Arial" w:eastAsia="Times New Roman"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8D2695"/>
    <w:multiLevelType w:val="hybridMultilevel"/>
    <w:tmpl w:val="95766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F93E7F"/>
    <w:multiLevelType w:val="hybridMultilevel"/>
    <w:tmpl w:val="48204BEA"/>
    <w:lvl w:ilvl="0" w:tplc="08090001">
      <w:start w:val="1"/>
      <w:numFmt w:val="bullet"/>
      <w:lvlText w:val=""/>
      <w:lvlJc w:val="left"/>
      <w:pPr>
        <w:ind w:left="720" w:hanging="360"/>
      </w:pPr>
      <w:rPr>
        <w:rFonts w:ascii="Symbol" w:hAnsi="Symbol" w:hint="default"/>
      </w:rPr>
    </w:lvl>
    <w:lvl w:ilvl="1" w:tplc="A456284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B5A61"/>
    <w:multiLevelType w:val="hybridMultilevel"/>
    <w:tmpl w:val="102C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50A10"/>
    <w:multiLevelType w:val="multilevel"/>
    <w:tmpl w:val="83B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0E2457"/>
    <w:multiLevelType w:val="hybridMultilevel"/>
    <w:tmpl w:val="BFD018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173229"/>
    <w:multiLevelType w:val="hybridMultilevel"/>
    <w:tmpl w:val="F446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F284F"/>
    <w:multiLevelType w:val="hybridMultilevel"/>
    <w:tmpl w:val="C2A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F308A8"/>
    <w:multiLevelType w:val="hybridMultilevel"/>
    <w:tmpl w:val="704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7600F1"/>
    <w:multiLevelType w:val="hybridMultilevel"/>
    <w:tmpl w:val="62CA33B8"/>
    <w:lvl w:ilvl="0" w:tplc="BFFEEFC0">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E316C"/>
    <w:multiLevelType w:val="hybridMultilevel"/>
    <w:tmpl w:val="5F1C3918"/>
    <w:lvl w:ilvl="0" w:tplc="424490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B47E2"/>
    <w:multiLevelType w:val="hybridMultilevel"/>
    <w:tmpl w:val="EABE01F8"/>
    <w:lvl w:ilvl="0" w:tplc="3D5AFD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236CF3"/>
    <w:multiLevelType w:val="hybridMultilevel"/>
    <w:tmpl w:val="FFD4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53B0E"/>
    <w:multiLevelType w:val="hybridMultilevel"/>
    <w:tmpl w:val="F12014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B0B6416"/>
    <w:multiLevelType w:val="hybridMultilevel"/>
    <w:tmpl w:val="E5E89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4B3C62"/>
    <w:multiLevelType w:val="hybridMultilevel"/>
    <w:tmpl w:val="E794C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3417EF"/>
    <w:multiLevelType w:val="hybridMultilevel"/>
    <w:tmpl w:val="A9B61F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D130A3F"/>
    <w:multiLevelType w:val="hybridMultilevel"/>
    <w:tmpl w:val="6B8EB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DE33FDE"/>
    <w:multiLevelType w:val="hybridMultilevel"/>
    <w:tmpl w:val="F246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0227C"/>
    <w:multiLevelType w:val="hybridMultilevel"/>
    <w:tmpl w:val="42285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7814B7"/>
    <w:multiLevelType w:val="hybridMultilevel"/>
    <w:tmpl w:val="1E3E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0"/>
  </w:num>
  <w:num w:numId="4">
    <w:abstractNumId w:val="2"/>
  </w:num>
  <w:num w:numId="5">
    <w:abstractNumId w:val="8"/>
  </w:num>
  <w:num w:numId="6">
    <w:abstractNumId w:val="17"/>
  </w:num>
  <w:num w:numId="7">
    <w:abstractNumId w:val="6"/>
  </w:num>
  <w:num w:numId="8">
    <w:abstractNumId w:val="1"/>
  </w:num>
  <w:num w:numId="9">
    <w:abstractNumId w:val="23"/>
  </w:num>
  <w:num w:numId="10">
    <w:abstractNumId w:val="3"/>
  </w:num>
  <w:num w:numId="11">
    <w:abstractNumId w:val="9"/>
  </w:num>
  <w:num w:numId="12">
    <w:abstractNumId w:val="16"/>
  </w:num>
  <w:num w:numId="13">
    <w:abstractNumId w:val="5"/>
  </w:num>
  <w:num w:numId="14">
    <w:abstractNumId w:val="21"/>
  </w:num>
  <w:num w:numId="15">
    <w:abstractNumId w:val="25"/>
  </w:num>
  <w:num w:numId="16">
    <w:abstractNumId w:val="22"/>
  </w:num>
  <w:num w:numId="17">
    <w:abstractNumId w:val="13"/>
  </w:num>
  <w:num w:numId="18">
    <w:abstractNumId w:val="19"/>
  </w:num>
  <w:num w:numId="19">
    <w:abstractNumId w:val="18"/>
  </w:num>
  <w:num w:numId="20">
    <w:abstractNumId w:val="15"/>
  </w:num>
  <w:num w:numId="21">
    <w:abstractNumId w:val="14"/>
  </w:num>
  <w:num w:numId="22">
    <w:abstractNumId w:val="0"/>
  </w:num>
  <w:num w:numId="23">
    <w:abstractNumId w:val="11"/>
  </w:num>
  <w:num w:numId="24">
    <w:abstractNumId w:val="7"/>
  </w:num>
  <w:num w:numId="25">
    <w:abstractNumId w:val="24"/>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4A"/>
    <w:rsid w:val="00013359"/>
    <w:rsid w:val="00043BAA"/>
    <w:rsid w:val="0005662B"/>
    <w:rsid w:val="00057856"/>
    <w:rsid w:val="00067406"/>
    <w:rsid w:val="000A128E"/>
    <w:rsid w:val="000A3987"/>
    <w:rsid w:val="000A4166"/>
    <w:rsid w:val="000B318A"/>
    <w:rsid w:val="000B6944"/>
    <w:rsid w:val="000C29BC"/>
    <w:rsid w:val="00124FE4"/>
    <w:rsid w:val="00127961"/>
    <w:rsid w:val="00132871"/>
    <w:rsid w:val="001332DA"/>
    <w:rsid w:val="00143E19"/>
    <w:rsid w:val="0014544B"/>
    <w:rsid w:val="00146783"/>
    <w:rsid w:val="00171766"/>
    <w:rsid w:val="00174F2E"/>
    <w:rsid w:val="00186B5A"/>
    <w:rsid w:val="001C2E45"/>
    <w:rsid w:val="001D4C16"/>
    <w:rsid w:val="001E0E76"/>
    <w:rsid w:val="00212BFB"/>
    <w:rsid w:val="00271762"/>
    <w:rsid w:val="0027562A"/>
    <w:rsid w:val="002902D4"/>
    <w:rsid w:val="002944C6"/>
    <w:rsid w:val="002A2DAB"/>
    <w:rsid w:val="002B1236"/>
    <w:rsid w:val="002E4321"/>
    <w:rsid w:val="00304E1F"/>
    <w:rsid w:val="00362FD7"/>
    <w:rsid w:val="00372013"/>
    <w:rsid w:val="003A3974"/>
    <w:rsid w:val="003A5C6B"/>
    <w:rsid w:val="003B4548"/>
    <w:rsid w:val="003B4C35"/>
    <w:rsid w:val="003C0F02"/>
    <w:rsid w:val="003C7883"/>
    <w:rsid w:val="003E0106"/>
    <w:rsid w:val="003E3D21"/>
    <w:rsid w:val="00452237"/>
    <w:rsid w:val="00456704"/>
    <w:rsid w:val="004778C6"/>
    <w:rsid w:val="00480410"/>
    <w:rsid w:val="00491F6C"/>
    <w:rsid w:val="00493D24"/>
    <w:rsid w:val="004A2615"/>
    <w:rsid w:val="004C4A0E"/>
    <w:rsid w:val="004C6295"/>
    <w:rsid w:val="004D0A49"/>
    <w:rsid w:val="004D250D"/>
    <w:rsid w:val="004F1EFF"/>
    <w:rsid w:val="005247CF"/>
    <w:rsid w:val="00544FDF"/>
    <w:rsid w:val="0055262C"/>
    <w:rsid w:val="005535A5"/>
    <w:rsid w:val="00562E26"/>
    <w:rsid w:val="00580A94"/>
    <w:rsid w:val="00590330"/>
    <w:rsid w:val="005C27A3"/>
    <w:rsid w:val="0060162C"/>
    <w:rsid w:val="0060794D"/>
    <w:rsid w:val="00616200"/>
    <w:rsid w:val="00630552"/>
    <w:rsid w:val="00647884"/>
    <w:rsid w:val="00656C4A"/>
    <w:rsid w:val="00683E9C"/>
    <w:rsid w:val="00692BA3"/>
    <w:rsid w:val="006A24E7"/>
    <w:rsid w:val="006B0316"/>
    <w:rsid w:val="006B48EC"/>
    <w:rsid w:val="006C12AA"/>
    <w:rsid w:val="006C4160"/>
    <w:rsid w:val="006D2543"/>
    <w:rsid w:val="006D7C6E"/>
    <w:rsid w:val="00707A78"/>
    <w:rsid w:val="00730811"/>
    <w:rsid w:val="0073649A"/>
    <w:rsid w:val="0074127B"/>
    <w:rsid w:val="00757FCA"/>
    <w:rsid w:val="00763AC1"/>
    <w:rsid w:val="00776899"/>
    <w:rsid w:val="00800172"/>
    <w:rsid w:val="0080567B"/>
    <w:rsid w:val="00841E0F"/>
    <w:rsid w:val="00865722"/>
    <w:rsid w:val="00883751"/>
    <w:rsid w:val="008D5030"/>
    <w:rsid w:val="008E19DE"/>
    <w:rsid w:val="008E5961"/>
    <w:rsid w:val="00906448"/>
    <w:rsid w:val="009542D3"/>
    <w:rsid w:val="009708C2"/>
    <w:rsid w:val="009A4B3E"/>
    <w:rsid w:val="009F3D60"/>
    <w:rsid w:val="00A21BDB"/>
    <w:rsid w:val="00A25420"/>
    <w:rsid w:val="00A365BB"/>
    <w:rsid w:val="00A604B6"/>
    <w:rsid w:val="00A82255"/>
    <w:rsid w:val="00A95DF2"/>
    <w:rsid w:val="00AA7F88"/>
    <w:rsid w:val="00AC452A"/>
    <w:rsid w:val="00AC6D66"/>
    <w:rsid w:val="00AC70D1"/>
    <w:rsid w:val="00AC7B31"/>
    <w:rsid w:val="00AD0A50"/>
    <w:rsid w:val="00B01A29"/>
    <w:rsid w:val="00B02577"/>
    <w:rsid w:val="00B15E56"/>
    <w:rsid w:val="00B65F65"/>
    <w:rsid w:val="00B74EA3"/>
    <w:rsid w:val="00B81821"/>
    <w:rsid w:val="00B97F82"/>
    <w:rsid w:val="00BA5D06"/>
    <w:rsid w:val="00BA78EF"/>
    <w:rsid w:val="00BD067B"/>
    <w:rsid w:val="00BD751D"/>
    <w:rsid w:val="00BE0FE5"/>
    <w:rsid w:val="00C12309"/>
    <w:rsid w:val="00C25E18"/>
    <w:rsid w:val="00C35F06"/>
    <w:rsid w:val="00C40AF4"/>
    <w:rsid w:val="00C540C1"/>
    <w:rsid w:val="00C94D19"/>
    <w:rsid w:val="00CA7026"/>
    <w:rsid w:val="00CB3ADF"/>
    <w:rsid w:val="00CE24C8"/>
    <w:rsid w:val="00CF38B6"/>
    <w:rsid w:val="00D1385E"/>
    <w:rsid w:val="00D2138D"/>
    <w:rsid w:val="00D2526D"/>
    <w:rsid w:val="00D269C6"/>
    <w:rsid w:val="00D36CFA"/>
    <w:rsid w:val="00D46D05"/>
    <w:rsid w:val="00DA20F8"/>
    <w:rsid w:val="00DA48B0"/>
    <w:rsid w:val="00DC6768"/>
    <w:rsid w:val="00DD1F81"/>
    <w:rsid w:val="00DD7DFD"/>
    <w:rsid w:val="00DF56DD"/>
    <w:rsid w:val="00E12B80"/>
    <w:rsid w:val="00E31471"/>
    <w:rsid w:val="00E44E0E"/>
    <w:rsid w:val="00E6298F"/>
    <w:rsid w:val="00E90A1E"/>
    <w:rsid w:val="00EB6377"/>
    <w:rsid w:val="00EC1A5A"/>
    <w:rsid w:val="00ED2247"/>
    <w:rsid w:val="00ED5D0D"/>
    <w:rsid w:val="00EF1AEB"/>
    <w:rsid w:val="00F20A99"/>
    <w:rsid w:val="00F40B6E"/>
    <w:rsid w:val="00F47FEA"/>
    <w:rsid w:val="00F55D0C"/>
    <w:rsid w:val="00F9349B"/>
    <w:rsid w:val="00FA1879"/>
    <w:rsid w:val="00FC0C0B"/>
    <w:rsid w:val="00FD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683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B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420"/>
    <w:pPr>
      <w:spacing w:before="200" w:line="240" w:lineRule="auto"/>
      <w:ind w:left="720"/>
      <w:contextualSpacing/>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8D5030"/>
    <w:rPr>
      <w:sz w:val="16"/>
      <w:szCs w:val="16"/>
    </w:rPr>
  </w:style>
  <w:style w:type="paragraph" w:styleId="CommentText">
    <w:name w:val="annotation text"/>
    <w:basedOn w:val="Normal"/>
    <w:link w:val="CommentTextChar"/>
    <w:uiPriority w:val="99"/>
    <w:semiHidden/>
    <w:unhideWhenUsed/>
    <w:rsid w:val="008D5030"/>
    <w:pPr>
      <w:spacing w:line="240" w:lineRule="auto"/>
    </w:pPr>
    <w:rPr>
      <w:sz w:val="20"/>
      <w:szCs w:val="20"/>
    </w:rPr>
  </w:style>
  <w:style w:type="character" w:customStyle="1" w:styleId="CommentTextChar">
    <w:name w:val="Comment Text Char"/>
    <w:basedOn w:val="DefaultParagraphFont"/>
    <w:link w:val="CommentText"/>
    <w:uiPriority w:val="99"/>
    <w:semiHidden/>
    <w:rsid w:val="008D5030"/>
    <w:rPr>
      <w:sz w:val="20"/>
      <w:szCs w:val="20"/>
    </w:rPr>
  </w:style>
  <w:style w:type="paragraph" w:styleId="CommentSubject">
    <w:name w:val="annotation subject"/>
    <w:basedOn w:val="CommentText"/>
    <w:next w:val="CommentText"/>
    <w:link w:val="CommentSubjectChar"/>
    <w:uiPriority w:val="99"/>
    <w:semiHidden/>
    <w:unhideWhenUsed/>
    <w:rsid w:val="008D5030"/>
    <w:rPr>
      <w:b/>
      <w:bCs/>
    </w:rPr>
  </w:style>
  <w:style w:type="character" w:customStyle="1" w:styleId="CommentSubjectChar">
    <w:name w:val="Comment Subject Char"/>
    <w:basedOn w:val="CommentTextChar"/>
    <w:link w:val="CommentSubject"/>
    <w:uiPriority w:val="99"/>
    <w:semiHidden/>
    <w:rsid w:val="008D5030"/>
    <w:rPr>
      <w:b/>
      <w:bCs/>
      <w:sz w:val="20"/>
      <w:szCs w:val="20"/>
    </w:rPr>
  </w:style>
  <w:style w:type="character" w:customStyle="1" w:styleId="Heading1Char">
    <w:name w:val="Heading 1 Char"/>
    <w:basedOn w:val="DefaultParagraphFont"/>
    <w:link w:val="Heading1"/>
    <w:uiPriority w:val="9"/>
    <w:rsid w:val="00683E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B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683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B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420"/>
    <w:pPr>
      <w:spacing w:before="200" w:line="240" w:lineRule="auto"/>
      <w:ind w:left="720"/>
      <w:contextualSpacing/>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8D5030"/>
    <w:rPr>
      <w:sz w:val="16"/>
      <w:szCs w:val="16"/>
    </w:rPr>
  </w:style>
  <w:style w:type="paragraph" w:styleId="CommentText">
    <w:name w:val="annotation text"/>
    <w:basedOn w:val="Normal"/>
    <w:link w:val="CommentTextChar"/>
    <w:uiPriority w:val="99"/>
    <w:semiHidden/>
    <w:unhideWhenUsed/>
    <w:rsid w:val="008D5030"/>
    <w:pPr>
      <w:spacing w:line="240" w:lineRule="auto"/>
    </w:pPr>
    <w:rPr>
      <w:sz w:val="20"/>
      <w:szCs w:val="20"/>
    </w:rPr>
  </w:style>
  <w:style w:type="character" w:customStyle="1" w:styleId="CommentTextChar">
    <w:name w:val="Comment Text Char"/>
    <w:basedOn w:val="DefaultParagraphFont"/>
    <w:link w:val="CommentText"/>
    <w:uiPriority w:val="99"/>
    <w:semiHidden/>
    <w:rsid w:val="008D5030"/>
    <w:rPr>
      <w:sz w:val="20"/>
      <w:szCs w:val="20"/>
    </w:rPr>
  </w:style>
  <w:style w:type="paragraph" w:styleId="CommentSubject">
    <w:name w:val="annotation subject"/>
    <w:basedOn w:val="CommentText"/>
    <w:next w:val="CommentText"/>
    <w:link w:val="CommentSubjectChar"/>
    <w:uiPriority w:val="99"/>
    <w:semiHidden/>
    <w:unhideWhenUsed/>
    <w:rsid w:val="008D5030"/>
    <w:rPr>
      <w:b/>
      <w:bCs/>
    </w:rPr>
  </w:style>
  <w:style w:type="character" w:customStyle="1" w:styleId="CommentSubjectChar">
    <w:name w:val="Comment Subject Char"/>
    <w:basedOn w:val="CommentTextChar"/>
    <w:link w:val="CommentSubject"/>
    <w:uiPriority w:val="99"/>
    <w:semiHidden/>
    <w:rsid w:val="008D5030"/>
    <w:rPr>
      <w:b/>
      <w:bCs/>
      <w:sz w:val="20"/>
      <w:szCs w:val="20"/>
    </w:rPr>
  </w:style>
  <w:style w:type="character" w:customStyle="1" w:styleId="Heading1Char">
    <w:name w:val="Heading 1 Char"/>
    <w:basedOn w:val="DefaultParagraphFont"/>
    <w:link w:val="Heading1"/>
    <w:uiPriority w:val="9"/>
    <w:rsid w:val="00683E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B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71">
      <w:bodyDiv w:val="1"/>
      <w:marLeft w:val="0"/>
      <w:marRight w:val="0"/>
      <w:marTop w:val="0"/>
      <w:marBottom w:val="0"/>
      <w:divBdr>
        <w:top w:val="none" w:sz="0" w:space="0" w:color="auto"/>
        <w:left w:val="none" w:sz="0" w:space="0" w:color="auto"/>
        <w:bottom w:val="none" w:sz="0" w:space="0" w:color="auto"/>
        <w:right w:val="none" w:sz="0" w:space="0" w:color="auto"/>
      </w:divBdr>
    </w:div>
    <w:div w:id="210963221">
      <w:bodyDiv w:val="1"/>
      <w:marLeft w:val="0"/>
      <w:marRight w:val="0"/>
      <w:marTop w:val="0"/>
      <w:marBottom w:val="0"/>
      <w:divBdr>
        <w:top w:val="none" w:sz="0" w:space="0" w:color="auto"/>
        <w:left w:val="none" w:sz="0" w:space="0" w:color="auto"/>
        <w:bottom w:val="none" w:sz="0" w:space="0" w:color="auto"/>
        <w:right w:val="none" w:sz="0" w:space="0" w:color="auto"/>
      </w:divBdr>
    </w:div>
    <w:div w:id="475419777">
      <w:bodyDiv w:val="1"/>
      <w:marLeft w:val="0"/>
      <w:marRight w:val="0"/>
      <w:marTop w:val="0"/>
      <w:marBottom w:val="0"/>
      <w:divBdr>
        <w:top w:val="none" w:sz="0" w:space="0" w:color="auto"/>
        <w:left w:val="none" w:sz="0" w:space="0" w:color="auto"/>
        <w:bottom w:val="none" w:sz="0" w:space="0" w:color="auto"/>
        <w:right w:val="none" w:sz="0" w:space="0" w:color="auto"/>
      </w:divBdr>
    </w:div>
    <w:div w:id="529030693">
      <w:bodyDiv w:val="1"/>
      <w:marLeft w:val="0"/>
      <w:marRight w:val="0"/>
      <w:marTop w:val="0"/>
      <w:marBottom w:val="0"/>
      <w:divBdr>
        <w:top w:val="none" w:sz="0" w:space="0" w:color="auto"/>
        <w:left w:val="none" w:sz="0" w:space="0" w:color="auto"/>
        <w:bottom w:val="none" w:sz="0" w:space="0" w:color="auto"/>
        <w:right w:val="none" w:sz="0" w:space="0" w:color="auto"/>
      </w:divBdr>
    </w:div>
    <w:div w:id="680473753">
      <w:bodyDiv w:val="1"/>
      <w:marLeft w:val="0"/>
      <w:marRight w:val="0"/>
      <w:marTop w:val="0"/>
      <w:marBottom w:val="0"/>
      <w:divBdr>
        <w:top w:val="none" w:sz="0" w:space="0" w:color="auto"/>
        <w:left w:val="none" w:sz="0" w:space="0" w:color="auto"/>
        <w:bottom w:val="none" w:sz="0" w:space="0" w:color="auto"/>
        <w:right w:val="none" w:sz="0" w:space="0" w:color="auto"/>
      </w:divBdr>
    </w:div>
    <w:div w:id="740180185">
      <w:bodyDiv w:val="1"/>
      <w:marLeft w:val="0"/>
      <w:marRight w:val="0"/>
      <w:marTop w:val="0"/>
      <w:marBottom w:val="0"/>
      <w:divBdr>
        <w:top w:val="none" w:sz="0" w:space="0" w:color="auto"/>
        <w:left w:val="none" w:sz="0" w:space="0" w:color="auto"/>
        <w:bottom w:val="none" w:sz="0" w:space="0" w:color="auto"/>
        <w:right w:val="none" w:sz="0" w:space="0" w:color="auto"/>
      </w:divBdr>
    </w:div>
    <w:div w:id="787552103">
      <w:bodyDiv w:val="1"/>
      <w:marLeft w:val="0"/>
      <w:marRight w:val="0"/>
      <w:marTop w:val="0"/>
      <w:marBottom w:val="0"/>
      <w:divBdr>
        <w:top w:val="none" w:sz="0" w:space="0" w:color="auto"/>
        <w:left w:val="none" w:sz="0" w:space="0" w:color="auto"/>
        <w:bottom w:val="none" w:sz="0" w:space="0" w:color="auto"/>
        <w:right w:val="none" w:sz="0" w:space="0" w:color="auto"/>
      </w:divBdr>
    </w:div>
    <w:div w:id="1449734006">
      <w:bodyDiv w:val="1"/>
      <w:marLeft w:val="0"/>
      <w:marRight w:val="0"/>
      <w:marTop w:val="0"/>
      <w:marBottom w:val="0"/>
      <w:divBdr>
        <w:top w:val="none" w:sz="0" w:space="0" w:color="auto"/>
        <w:left w:val="none" w:sz="0" w:space="0" w:color="auto"/>
        <w:bottom w:val="none" w:sz="0" w:space="0" w:color="auto"/>
        <w:right w:val="none" w:sz="0" w:space="0" w:color="auto"/>
      </w:divBdr>
      <w:divsChild>
        <w:div w:id="1635986039">
          <w:marLeft w:val="0"/>
          <w:marRight w:val="0"/>
          <w:marTop w:val="0"/>
          <w:marBottom w:val="0"/>
          <w:divBdr>
            <w:top w:val="none" w:sz="0" w:space="0" w:color="auto"/>
            <w:left w:val="none" w:sz="0" w:space="0" w:color="auto"/>
            <w:bottom w:val="none" w:sz="0" w:space="0" w:color="auto"/>
            <w:right w:val="none" w:sz="0" w:space="0" w:color="auto"/>
          </w:divBdr>
          <w:divsChild>
            <w:div w:id="2070955426">
              <w:marLeft w:val="0"/>
              <w:marRight w:val="0"/>
              <w:marTop w:val="0"/>
              <w:marBottom w:val="0"/>
              <w:divBdr>
                <w:top w:val="none" w:sz="0" w:space="0" w:color="auto"/>
                <w:left w:val="none" w:sz="0" w:space="0" w:color="auto"/>
                <w:bottom w:val="none" w:sz="0" w:space="0" w:color="auto"/>
                <w:right w:val="none" w:sz="0" w:space="0" w:color="auto"/>
              </w:divBdr>
              <w:divsChild>
                <w:div w:id="1308439469">
                  <w:marLeft w:val="0"/>
                  <w:marRight w:val="0"/>
                  <w:marTop w:val="0"/>
                  <w:marBottom w:val="0"/>
                  <w:divBdr>
                    <w:top w:val="none" w:sz="0" w:space="0" w:color="auto"/>
                    <w:left w:val="none" w:sz="0" w:space="0" w:color="auto"/>
                    <w:bottom w:val="none" w:sz="0" w:space="0" w:color="auto"/>
                    <w:right w:val="none" w:sz="0" w:space="0" w:color="auto"/>
                  </w:divBdr>
                  <w:divsChild>
                    <w:div w:id="260603037">
                      <w:marLeft w:val="0"/>
                      <w:marRight w:val="0"/>
                      <w:marTop w:val="0"/>
                      <w:marBottom w:val="0"/>
                      <w:divBdr>
                        <w:top w:val="none" w:sz="0" w:space="0" w:color="auto"/>
                        <w:left w:val="none" w:sz="0" w:space="0" w:color="auto"/>
                        <w:bottom w:val="none" w:sz="0" w:space="0" w:color="auto"/>
                        <w:right w:val="none" w:sz="0" w:space="0" w:color="auto"/>
                      </w:divBdr>
                      <w:divsChild>
                        <w:div w:id="2095976757">
                          <w:marLeft w:val="0"/>
                          <w:marRight w:val="0"/>
                          <w:marTop w:val="0"/>
                          <w:marBottom w:val="0"/>
                          <w:divBdr>
                            <w:top w:val="none" w:sz="0" w:space="0" w:color="auto"/>
                            <w:left w:val="none" w:sz="0" w:space="0" w:color="auto"/>
                            <w:bottom w:val="none" w:sz="0" w:space="0" w:color="auto"/>
                            <w:right w:val="none" w:sz="0" w:space="0" w:color="auto"/>
                          </w:divBdr>
                          <w:divsChild>
                            <w:div w:id="1296638639">
                              <w:marLeft w:val="0"/>
                              <w:marRight w:val="0"/>
                              <w:marTop w:val="0"/>
                              <w:marBottom w:val="0"/>
                              <w:divBdr>
                                <w:top w:val="none" w:sz="0" w:space="0" w:color="auto"/>
                                <w:left w:val="none" w:sz="0" w:space="0" w:color="auto"/>
                                <w:bottom w:val="none" w:sz="0" w:space="0" w:color="auto"/>
                                <w:right w:val="none" w:sz="0" w:space="0" w:color="auto"/>
                              </w:divBdr>
                              <w:divsChild>
                                <w:div w:id="1766729066">
                                  <w:marLeft w:val="0"/>
                                  <w:marRight w:val="0"/>
                                  <w:marTop w:val="0"/>
                                  <w:marBottom w:val="0"/>
                                  <w:divBdr>
                                    <w:top w:val="none" w:sz="0" w:space="0" w:color="auto"/>
                                    <w:left w:val="none" w:sz="0" w:space="0" w:color="auto"/>
                                    <w:bottom w:val="none" w:sz="0" w:space="0" w:color="auto"/>
                                    <w:right w:val="none" w:sz="0" w:space="0" w:color="auto"/>
                                  </w:divBdr>
                                </w:div>
                                <w:div w:id="1469199429">
                                  <w:marLeft w:val="0"/>
                                  <w:marRight w:val="0"/>
                                  <w:marTop w:val="0"/>
                                  <w:marBottom w:val="0"/>
                                  <w:divBdr>
                                    <w:top w:val="none" w:sz="0" w:space="0" w:color="auto"/>
                                    <w:left w:val="none" w:sz="0" w:space="0" w:color="auto"/>
                                    <w:bottom w:val="none" w:sz="0" w:space="0" w:color="auto"/>
                                    <w:right w:val="none" w:sz="0" w:space="0" w:color="auto"/>
                                  </w:divBdr>
                                </w:div>
                                <w:div w:id="1385250779">
                                  <w:marLeft w:val="0"/>
                                  <w:marRight w:val="0"/>
                                  <w:marTop w:val="0"/>
                                  <w:marBottom w:val="0"/>
                                  <w:divBdr>
                                    <w:top w:val="none" w:sz="0" w:space="0" w:color="auto"/>
                                    <w:left w:val="none" w:sz="0" w:space="0" w:color="auto"/>
                                    <w:bottom w:val="none" w:sz="0" w:space="0" w:color="auto"/>
                                    <w:right w:val="none" w:sz="0" w:space="0" w:color="auto"/>
                                  </w:divBdr>
                                </w:div>
                                <w:div w:id="13176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s\AppData\Local\Microsoft\Windows\Temporary%20Internet%20Files\Content.Outlook\ST58GP57\PC%20report%20-%20Januar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9B09-AB8C-413F-8AB3-62594283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report - January 2018.dotx</Template>
  <TotalTime>9</TotalTime>
  <Pages>12</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Sarah</dc:creator>
  <cp:lastModifiedBy>Sharpe, Kimara (Chief Executive Department)</cp:lastModifiedBy>
  <cp:revision>7</cp:revision>
  <cp:lastPrinted>2018-09-03T12:11:00Z</cp:lastPrinted>
  <dcterms:created xsi:type="dcterms:W3CDTF">2018-08-17T16:50:00Z</dcterms:created>
  <dcterms:modified xsi:type="dcterms:W3CDTF">2018-09-05T12:32:00Z</dcterms:modified>
</cp:coreProperties>
</file>