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9594" w:themeFill="accent2" w:themeFillTint="99"/>
        <w:tblLook w:val="04A0" w:firstRow="1" w:lastRow="0" w:firstColumn="1" w:lastColumn="0" w:noHBand="0" w:noVBand="1"/>
      </w:tblPr>
      <w:tblGrid>
        <w:gridCol w:w="9242"/>
      </w:tblGrid>
      <w:tr w:rsidR="00362FD7" w:rsidRPr="00840488" w:rsidTr="00A6465C">
        <w:tc>
          <w:tcPr>
            <w:tcW w:w="9242" w:type="dxa"/>
            <w:shd w:val="clear" w:color="auto" w:fill="FBD4B4" w:themeFill="accent6" w:themeFillTint="66"/>
          </w:tcPr>
          <w:p w:rsidR="00362FD7" w:rsidRDefault="00A6465C" w:rsidP="00362FD7">
            <w:pPr>
              <w:jc w:val="center"/>
              <w:rPr>
                <w:rFonts w:ascii="Arial" w:hAnsi="Arial" w:cs="Arial"/>
                <w:b/>
              </w:rPr>
            </w:pPr>
            <w:r>
              <w:rPr>
                <w:rFonts w:ascii="Arial" w:hAnsi="Arial" w:cs="Arial"/>
                <w:b/>
              </w:rPr>
              <w:t>Bi-annual P</w:t>
            </w:r>
            <w:r w:rsidR="00287D00">
              <w:rPr>
                <w:rFonts w:ascii="Arial" w:hAnsi="Arial" w:cs="Arial"/>
                <w:b/>
              </w:rPr>
              <w:t>atients</w:t>
            </w:r>
            <w:r>
              <w:rPr>
                <w:rFonts w:ascii="Arial" w:hAnsi="Arial" w:cs="Arial"/>
                <w:b/>
              </w:rPr>
              <w:t>’</w:t>
            </w:r>
            <w:r w:rsidR="00287D00">
              <w:rPr>
                <w:rFonts w:ascii="Arial" w:hAnsi="Arial" w:cs="Arial"/>
                <w:b/>
              </w:rPr>
              <w:t xml:space="preserve"> A</w:t>
            </w:r>
            <w:r w:rsidR="00A15D19" w:rsidRPr="00A15D19">
              <w:rPr>
                <w:rFonts w:ascii="Arial" w:hAnsi="Arial" w:cs="Arial"/>
                <w:b/>
              </w:rPr>
              <w:t>cuity an</w:t>
            </w:r>
            <w:r w:rsidR="000A65E7">
              <w:rPr>
                <w:rFonts w:ascii="Arial" w:hAnsi="Arial" w:cs="Arial"/>
                <w:b/>
              </w:rPr>
              <w:t>d Dependency Winter Study (February 2018)</w:t>
            </w:r>
            <w:r w:rsidR="00A15D19" w:rsidRPr="00A15D19">
              <w:rPr>
                <w:rFonts w:ascii="Arial" w:hAnsi="Arial" w:cs="Arial"/>
                <w:b/>
              </w:rPr>
              <w:t xml:space="preserve"> </w:t>
            </w:r>
          </w:p>
          <w:p w:rsidR="0062209F" w:rsidRPr="00F10F63" w:rsidRDefault="0062209F" w:rsidP="00362FD7">
            <w:pPr>
              <w:jc w:val="center"/>
              <w:rPr>
                <w:rFonts w:ascii="Arial" w:hAnsi="Arial" w:cs="Arial"/>
                <w:b/>
                <w:color w:val="FF0000"/>
              </w:rPr>
            </w:pPr>
            <w:r>
              <w:rPr>
                <w:rFonts w:ascii="Arial" w:hAnsi="Arial" w:cs="Arial"/>
                <w:b/>
              </w:rPr>
              <w:t>Midwifery Workforce Review (</w:t>
            </w:r>
            <w:proofErr w:type="spellStart"/>
            <w:r>
              <w:rPr>
                <w:rFonts w:ascii="Arial" w:hAnsi="Arial" w:cs="Arial"/>
                <w:b/>
              </w:rPr>
              <w:t>BirthRate</w:t>
            </w:r>
            <w:proofErr w:type="spellEnd"/>
            <w:r>
              <w:rPr>
                <w:rFonts w:ascii="Arial" w:hAnsi="Arial" w:cs="Arial"/>
                <w:b/>
              </w:rPr>
              <w:t xml:space="preserve"> plus- 2017/18)</w:t>
            </w:r>
          </w:p>
        </w:tc>
      </w:tr>
    </w:tbl>
    <w:p w:rsidR="00362FD7" w:rsidRDefault="00362FD7" w:rsidP="00362FD7">
      <w:pPr>
        <w:spacing w:after="0" w:line="240" w:lineRule="auto"/>
        <w:rPr>
          <w:rFonts w:ascii="Arial" w:hAnsi="Arial" w:cs="Arial"/>
        </w:rPr>
      </w:pPr>
    </w:p>
    <w:tbl>
      <w:tblPr>
        <w:tblStyle w:val="TableGrid"/>
        <w:tblW w:w="7677" w:type="dxa"/>
        <w:tblInd w:w="959" w:type="dxa"/>
        <w:tblLook w:val="04A0" w:firstRow="1" w:lastRow="0" w:firstColumn="1" w:lastColumn="0" w:noHBand="0" w:noVBand="1"/>
      </w:tblPr>
      <w:tblGrid>
        <w:gridCol w:w="2104"/>
        <w:gridCol w:w="425"/>
        <w:gridCol w:w="1821"/>
        <w:gridCol w:w="425"/>
        <w:gridCol w:w="2477"/>
        <w:gridCol w:w="425"/>
      </w:tblGrid>
      <w:tr w:rsidR="00362FD7" w:rsidRPr="00840488" w:rsidTr="00A6465C">
        <w:tc>
          <w:tcPr>
            <w:tcW w:w="1966" w:type="dxa"/>
            <w:shd w:val="clear" w:color="auto" w:fill="FBD4B4" w:themeFill="accent6" w:themeFillTint="66"/>
            <w:vAlign w:val="center"/>
          </w:tcPr>
          <w:p w:rsidR="00362FD7" w:rsidRPr="00840488" w:rsidRDefault="00362FD7" w:rsidP="00362FD7">
            <w:pPr>
              <w:rPr>
                <w:rFonts w:ascii="Arial" w:hAnsi="Arial" w:cs="Arial"/>
              </w:rPr>
            </w:pPr>
            <w:r w:rsidRPr="00840488">
              <w:rPr>
                <w:rFonts w:ascii="Arial" w:hAnsi="Arial" w:cs="Arial"/>
              </w:rPr>
              <w:t>For approval:</w:t>
            </w:r>
          </w:p>
        </w:tc>
        <w:tc>
          <w:tcPr>
            <w:tcW w:w="397" w:type="dxa"/>
            <w:vAlign w:val="center"/>
          </w:tcPr>
          <w:p w:rsidR="00362FD7" w:rsidRPr="00840488" w:rsidRDefault="00A15D19" w:rsidP="00362FD7">
            <w:pPr>
              <w:rPr>
                <w:rFonts w:ascii="Arial" w:hAnsi="Arial" w:cs="Arial"/>
              </w:rPr>
            </w:pPr>
            <w:r>
              <w:rPr>
                <w:rFonts w:ascii="Arial" w:hAnsi="Arial" w:cs="Arial"/>
              </w:rPr>
              <w:t>X</w:t>
            </w:r>
          </w:p>
        </w:tc>
        <w:tc>
          <w:tcPr>
            <w:tcW w:w="1701" w:type="dxa"/>
            <w:shd w:val="clear" w:color="auto" w:fill="FBD4B4" w:themeFill="accent6" w:themeFillTint="66"/>
            <w:vAlign w:val="center"/>
          </w:tcPr>
          <w:p w:rsidR="00362FD7" w:rsidRPr="00840488" w:rsidRDefault="00362FD7" w:rsidP="00362FD7">
            <w:pPr>
              <w:rPr>
                <w:rFonts w:ascii="Arial" w:hAnsi="Arial" w:cs="Arial"/>
              </w:rPr>
            </w:pPr>
            <w:r w:rsidRPr="00840488">
              <w:rPr>
                <w:rFonts w:ascii="Arial" w:hAnsi="Arial" w:cs="Arial"/>
              </w:rPr>
              <w:t>For assurance:</w:t>
            </w:r>
          </w:p>
        </w:tc>
        <w:tc>
          <w:tcPr>
            <w:tcW w:w="397" w:type="dxa"/>
            <w:tcBorders>
              <w:right w:val="single" w:sz="4" w:space="0" w:color="auto"/>
            </w:tcBorders>
          </w:tcPr>
          <w:p w:rsidR="00362FD7" w:rsidRPr="00840488" w:rsidRDefault="00362FD7" w:rsidP="00362FD7">
            <w:pPr>
              <w:rPr>
                <w:rFonts w:ascii="Arial" w:hAnsi="Arial" w:cs="Arial"/>
              </w:rPr>
            </w:pPr>
          </w:p>
        </w:tc>
        <w:tc>
          <w:tcPr>
            <w:tcW w:w="2314" w:type="dxa"/>
            <w:shd w:val="clear" w:color="auto" w:fill="FBD4B4" w:themeFill="accent6" w:themeFillTint="66"/>
            <w:vAlign w:val="center"/>
          </w:tcPr>
          <w:p w:rsidR="00362FD7" w:rsidRPr="00840488" w:rsidRDefault="002E4321" w:rsidP="003B4548">
            <w:pPr>
              <w:rPr>
                <w:rFonts w:ascii="Arial" w:hAnsi="Arial" w:cs="Arial"/>
              </w:rPr>
            </w:pPr>
            <w:r>
              <w:rPr>
                <w:rFonts w:ascii="Arial" w:hAnsi="Arial" w:cs="Arial"/>
              </w:rPr>
              <w:t xml:space="preserve">To </w:t>
            </w:r>
            <w:r w:rsidR="003B4548">
              <w:rPr>
                <w:rFonts w:ascii="Arial" w:hAnsi="Arial" w:cs="Arial"/>
              </w:rPr>
              <w:t>note</w:t>
            </w:r>
            <w:r w:rsidR="00362FD7" w:rsidRPr="00840488">
              <w:rPr>
                <w:rFonts w:ascii="Arial" w:hAnsi="Arial" w:cs="Arial"/>
              </w:rPr>
              <w:t>:</w:t>
            </w:r>
          </w:p>
        </w:tc>
        <w:tc>
          <w:tcPr>
            <w:tcW w:w="397" w:type="dxa"/>
          </w:tcPr>
          <w:p w:rsidR="00362FD7" w:rsidRPr="00840488" w:rsidRDefault="00362FD7" w:rsidP="00362FD7">
            <w:pPr>
              <w:rPr>
                <w:rFonts w:ascii="Arial" w:hAnsi="Arial" w:cs="Arial"/>
              </w:rPr>
            </w:pPr>
          </w:p>
        </w:tc>
      </w:tr>
    </w:tbl>
    <w:p w:rsidR="00865722" w:rsidRDefault="00865722" w:rsidP="00362FD7">
      <w:pPr>
        <w:spacing w:after="0" w:line="240" w:lineRule="auto"/>
        <w:rPr>
          <w:rFonts w:ascii="Arial" w:hAnsi="Arial" w:cs="Arial"/>
        </w:rPr>
      </w:pPr>
    </w:p>
    <w:tbl>
      <w:tblPr>
        <w:tblStyle w:val="TableGrid"/>
        <w:tblW w:w="9322" w:type="dxa"/>
        <w:tblLook w:val="04A0" w:firstRow="1" w:lastRow="0" w:firstColumn="1" w:lastColumn="0" w:noHBand="0" w:noVBand="1"/>
      </w:tblPr>
      <w:tblGrid>
        <w:gridCol w:w="2518"/>
        <w:gridCol w:w="221"/>
        <w:gridCol w:w="382"/>
        <w:gridCol w:w="2090"/>
        <w:gridCol w:w="609"/>
        <w:gridCol w:w="382"/>
        <w:gridCol w:w="285"/>
        <w:gridCol w:w="2453"/>
        <w:gridCol w:w="382"/>
      </w:tblGrid>
      <w:tr w:rsidR="00362FD7" w:rsidRPr="00840488" w:rsidTr="00AC452A">
        <w:tc>
          <w:tcPr>
            <w:tcW w:w="2518" w:type="dxa"/>
          </w:tcPr>
          <w:p w:rsidR="00362FD7" w:rsidRPr="00F10F63" w:rsidRDefault="00362FD7" w:rsidP="00DC6768">
            <w:pPr>
              <w:rPr>
                <w:rFonts w:ascii="Arial" w:hAnsi="Arial" w:cs="Arial"/>
                <w:b/>
              </w:rPr>
            </w:pPr>
            <w:r w:rsidRPr="00F10F63">
              <w:rPr>
                <w:rFonts w:ascii="Arial" w:hAnsi="Arial" w:cs="Arial"/>
                <w:b/>
              </w:rPr>
              <w:t>Accountable Director</w:t>
            </w:r>
          </w:p>
          <w:p w:rsidR="00362FD7" w:rsidRPr="00F10F63" w:rsidRDefault="00362FD7" w:rsidP="00DC6768">
            <w:pPr>
              <w:rPr>
                <w:rFonts w:ascii="Arial" w:hAnsi="Arial" w:cs="Arial"/>
                <w:b/>
              </w:rPr>
            </w:pPr>
          </w:p>
        </w:tc>
        <w:tc>
          <w:tcPr>
            <w:tcW w:w="6804" w:type="dxa"/>
            <w:gridSpan w:val="8"/>
          </w:tcPr>
          <w:p w:rsidR="00A6465C" w:rsidRDefault="00A15D19" w:rsidP="00DC6768">
            <w:pPr>
              <w:rPr>
                <w:rFonts w:ascii="Arial" w:hAnsi="Arial" w:cs="Arial"/>
              </w:rPr>
            </w:pPr>
            <w:r>
              <w:rPr>
                <w:rFonts w:ascii="Arial" w:hAnsi="Arial" w:cs="Arial"/>
              </w:rPr>
              <w:t>Vicky Morris</w:t>
            </w:r>
          </w:p>
          <w:p w:rsidR="00362FD7" w:rsidRPr="00840488" w:rsidRDefault="00A32CEF" w:rsidP="00DC6768">
            <w:pPr>
              <w:rPr>
                <w:rFonts w:ascii="Arial" w:hAnsi="Arial" w:cs="Arial"/>
              </w:rPr>
            </w:pPr>
            <w:r>
              <w:rPr>
                <w:rFonts w:ascii="Arial" w:hAnsi="Arial" w:cs="Arial"/>
              </w:rPr>
              <w:t>Chief Nursing Officer</w:t>
            </w:r>
          </w:p>
        </w:tc>
      </w:tr>
      <w:tr w:rsidR="00362FD7" w:rsidRPr="00840488" w:rsidTr="00AC452A">
        <w:tc>
          <w:tcPr>
            <w:tcW w:w="2518" w:type="dxa"/>
            <w:tcBorders>
              <w:bottom w:val="single" w:sz="4" w:space="0" w:color="auto"/>
            </w:tcBorders>
          </w:tcPr>
          <w:p w:rsidR="00362FD7" w:rsidRPr="00F10F63" w:rsidRDefault="00362FD7" w:rsidP="00DC6768">
            <w:pPr>
              <w:rPr>
                <w:rFonts w:ascii="Arial" w:hAnsi="Arial" w:cs="Arial"/>
                <w:b/>
              </w:rPr>
            </w:pPr>
            <w:r w:rsidRPr="00F10F63">
              <w:rPr>
                <w:rFonts w:ascii="Arial" w:hAnsi="Arial" w:cs="Arial"/>
                <w:b/>
              </w:rPr>
              <w:t>Presented by</w:t>
            </w:r>
          </w:p>
          <w:p w:rsidR="00362FD7" w:rsidRPr="00F10F63" w:rsidRDefault="00362FD7" w:rsidP="00DC6768">
            <w:pPr>
              <w:rPr>
                <w:rFonts w:ascii="Arial" w:hAnsi="Arial" w:cs="Arial"/>
                <w:b/>
              </w:rPr>
            </w:pPr>
          </w:p>
        </w:tc>
        <w:tc>
          <w:tcPr>
            <w:tcW w:w="2693" w:type="dxa"/>
            <w:gridSpan w:val="3"/>
            <w:tcBorders>
              <w:bottom w:val="single" w:sz="4" w:space="0" w:color="auto"/>
            </w:tcBorders>
          </w:tcPr>
          <w:p w:rsidR="00A6465C" w:rsidRDefault="00A6465C" w:rsidP="00937994">
            <w:pPr>
              <w:rPr>
                <w:rFonts w:ascii="Arial" w:hAnsi="Arial" w:cs="Arial"/>
              </w:rPr>
            </w:pPr>
            <w:r>
              <w:rPr>
                <w:rFonts w:ascii="Arial" w:hAnsi="Arial" w:cs="Arial"/>
              </w:rPr>
              <w:t xml:space="preserve">Vicky Morris </w:t>
            </w:r>
          </w:p>
          <w:p w:rsidR="00362FD7" w:rsidRPr="00840488" w:rsidRDefault="00A32CEF" w:rsidP="00937994">
            <w:pPr>
              <w:rPr>
                <w:rFonts w:ascii="Arial" w:hAnsi="Arial" w:cs="Arial"/>
              </w:rPr>
            </w:pPr>
            <w:r>
              <w:rPr>
                <w:rFonts w:ascii="Arial" w:hAnsi="Arial" w:cs="Arial"/>
              </w:rPr>
              <w:t>Chief Nursing Officer</w:t>
            </w:r>
          </w:p>
        </w:tc>
        <w:tc>
          <w:tcPr>
            <w:tcW w:w="1276" w:type="dxa"/>
            <w:gridSpan w:val="3"/>
            <w:tcBorders>
              <w:bottom w:val="single" w:sz="4" w:space="0" w:color="auto"/>
            </w:tcBorders>
          </w:tcPr>
          <w:p w:rsidR="00362FD7" w:rsidRPr="00F10F63" w:rsidRDefault="00362FD7" w:rsidP="00362FD7">
            <w:pPr>
              <w:rPr>
                <w:rFonts w:ascii="Arial" w:hAnsi="Arial" w:cs="Arial"/>
                <w:b/>
              </w:rPr>
            </w:pPr>
            <w:r w:rsidRPr="00F10F63">
              <w:rPr>
                <w:rFonts w:ascii="Arial" w:hAnsi="Arial" w:cs="Arial"/>
                <w:b/>
              </w:rPr>
              <w:t>Author</w:t>
            </w:r>
            <w:r w:rsidR="00AC452A">
              <w:rPr>
                <w:rFonts w:ascii="Arial" w:hAnsi="Arial" w:cs="Arial"/>
                <w:b/>
              </w:rPr>
              <w:t xml:space="preserve"> </w:t>
            </w:r>
          </w:p>
          <w:p w:rsidR="00362FD7" w:rsidRPr="00840488" w:rsidRDefault="00362FD7" w:rsidP="00DC6768">
            <w:pPr>
              <w:rPr>
                <w:rFonts w:ascii="Arial" w:hAnsi="Arial" w:cs="Arial"/>
              </w:rPr>
            </w:pPr>
          </w:p>
        </w:tc>
        <w:tc>
          <w:tcPr>
            <w:tcW w:w="2835" w:type="dxa"/>
            <w:gridSpan w:val="2"/>
            <w:tcBorders>
              <w:bottom w:val="single" w:sz="4" w:space="0" w:color="auto"/>
            </w:tcBorders>
          </w:tcPr>
          <w:p w:rsidR="00A32CEF" w:rsidRDefault="00A15D19" w:rsidP="00DC6768">
            <w:pPr>
              <w:rPr>
                <w:rFonts w:ascii="Arial" w:hAnsi="Arial" w:cs="Arial"/>
              </w:rPr>
            </w:pPr>
            <w:r>
              <w:rPr>
                <w:rFonts w:ascii="Arial" w:hAnsi="Arial" w:cs="Arial"/>
              </w:rPr>
              <w:t>Jackie Edwards</w:t>
            </w:r>
            <w:r w:rsidR="00A32CEF">
              <w:rPr>
                <w:rFonts w:ascii="Arial" w:hAnsi="Arial" w:cs="Arial"/>
              </w:rPr>
              <w:t xml:space="preserve"> </w:t>
            </w:r>
          </w:p>
          <w:p w:rsidR="00A32CEF" w:rsidRDefault="00A32CEF" w:rsidP="00DC6768">
            <w:pPr>
              <w:rPr>
                <w:rFonts w:ascii="Arial" w:hAnsi="Arial" w:cs="Arial"/>
              </w:rPr>
            </w:pPr>
            <w:r>
              <w:rPr>
                <w:rFonts w:ascii="Arial" w:hAnsi="Arial" w:cs="Arial"/>
              </w:rPr>
              <w:t xml:space="preserve">Deputy Chief Nursing Officer </w:t>
            </w:r>
          </w:p>
          <w:p w:rsidR="00362FD7" w:rsidRDefault="00A15D19" w:rsidP="00DC6768">
            <w:pPr>
              <w:rPr>
                <w:rFonts w:ascii="Arial" w:hAnsi="Arial" w:cs="Arial"/>
              </w:rPr>
            </w:pPr>
            <w:r>
              <w:rPr>
                <w:rFonts w:ascii="Arial" w:hAnsi="Arial" w:cs="Arial"/>
              </w:rPr>
              <w:t>Sarah Needham</w:t>
            </w:r>
          </w:p>
          <w:p w:rsidR="00A32CEF" w:rsidRPr="00840488" w:rsidRDefault="00A32CEF" w:rsidP="00DC6768">
            <w:pPr>
              <w:rPr>
                <w:rFonts w:ascii="Arial" w:hAnsi="Arial" w:cs="Arial"/>
              </w:rPr>
            </w:pPr>
            <w:r>
              <w:rPr>
                <w:rFonts w:ascii="Arial" w:hAnsi="Arial" w:cs="Arial"/>
              </w:rPr>
              <w:t>Associate Director of Nursing</w:t>
            </w:r>
          </w:p>
        </w:tc>
      </w:tr>
      <w:tr w:rsidR="00362FD7" w:rsidTr="00362FD7">
        <w:tc>
          <w:tcPr>
            <w:tcW w:w="9322" w:type="dxa"/>
            <w:gridSpan w:val="9"/>
            <w:tcBorders>
              <w:left w:val="nil"/>
              <w:right w:val="nil"/>
            </w:tcBorders>
          </w:tcPr>
          <w:p w:rsidR="00362FD7" w:rsidRPr="00F10F63" w:rsidRDefault="00362FD7" w:rsidP="00362FD7">
            <w:pPr>
              <w:rPr>
                <w:rFonts w:ascii="Arial" w:hAnsi="Arial" w:cs="Arial"/>
                <w:b/>
              </w:rPr>
            </w:pPr>
          </w:p>
        </w:tc>
      </w:tr>
      <w:tr w:rsidR="00362FD7" w:rsidTr="00362FD7">
        <w:tc>
          <w:tcPr>
            <w:tcW w:w="9322" w:type="dxa"/>
            <w:gridSpan w:val="9"/>
          </w:tcPr>
          <w:p w:rsidR="00362FD7" w:rsidRDefault="00362FD7" w:rsidP="00362FD7">
            <w:pPr>
              <w:rPr>
                <w:rFonts w:ascii="Arial" w:hAnsi="Arial" w:cs="Arial"/>
              </w:rPr>
            </w:pPr>
            <w:r w:rsidRPr="00F10F63">
              <w:rPr>
                <w:rFonts w:ascii="Arial" w:hAnsi="Arial" w:cs="Arial"/>
                <w:b/>
              </w:rPr>
              <w:t>Alignment to the Trust’s strategic priorities</w:t>
            </w:r>
          </w:p>
        </w:tc>
      </w:tr>
      <w:tr w:rsidR="00362FD7" w:rsidTr="00362FD7">
        <w:tc>
          <w:tcPr>
            <w:tcW w:w="2739" w:type="dxa"/>
            <w:gridSpan w:val="2"/>
          </w:tcPr>
          <w:p w:rsidR="00362FD7" w:rsidRDefault="00362FD7" w:rsidP="00362FD7">
            <w:pPr>
              <w:rPr>
                <w:rFonts w:ascii="Arial" w:hAnsi="Arial" w:cs="Arial"/>
              </w:rPr>
            </w:pPr>
            <w:r w:rsidRPr="007E2FB4">
              <w:rPr>
                <w:rFonts w:ascii="Arial" w:hAnsi="Arial" w:cs="Arial"/>
                <w:iCs/>
                <w:color w:val="000000"/>
              </w:rPr>
              <w:t>Deliver safe, high quality, compassionate patient care</w:t>
            </w:r>
          </w:p>
        </w:tc>
        <w:tc>
          <w:tcPr>
            <w:tcW w:w="382" w:type="dxa"/>
          </w:tcPr>
          <w:p w:rsidR="00362FD7" w:rsidRDefault="00A15D19" w:rsidP="00DC6768">
            <w:pPr>
              <w:rPr>
                <w:rFonts w:ascii="Arial" w:hAnsi="Arial" w:cs="Arial"/>
              </w:rPr>
            </w:pPr>
            <w:r>
              <w:rPr>
                <w:rFonts w:ascii="Arial" w:hAnsi="Arial" w:cs="Arial"/>
              </w:rPr>
              <w:t>x</w:t>
            </w:r>
          </w:p>
        </w:tc>
        <w:tc>
          <w:tcPr>
            <w:tcW w:w="2699" w:type="dxa"/>
            <w:gridSpan w:val="2"/>
          </w:tcPr>
          <w:p w:rsidR="00362FD7" w:rsidRDefault="00362FD7" w:rsidP="00362FD7">
            <w:pPr>
              <w:rPr>
                <w:rFonts w:ascii="Arial" w:hAnsi="Arial" w:cs="Arial"/>
              </w:rPr>
            </w:pPr>
            <w:r w:rsidRPr="007E2FB4">
              <w:rPr>
                <w:rFonts w:ascii="Arial" w:hAnsi="Arial" w:cs="Arial"/>
                <w:iCs/>
                <w:color w:val="000000"/>
              </w:rPr>
              <w:t>Design healthcare around the needs of our patients, with our partners</w:t>
            </w:r>
          </w:p>
        </w:tc>
        <w:tc>
          <w:tcPr>
            <w:tcW w:w="382" w:type="dxa"/>
          </w:tcPr>
          <w:p w:rsidR="00362FD7" w:rsidRDefault="00A15D19" w:rsidP="00362FD7">
            <w:pPr>
              <w:rPr>
                <w:rFonts w:ascii="Arial" w:hAnsi="Arial" w:cs="Arial"/>
              </w:rPr>
            </w:pPr>
            <w:r>
              <w:rPr>
                <w:rFonts w:ascii="Arial" w:hAnsi="Arial" w:cs="Arial"/>
              </w:rPr>
              <w:t>x</w:t>
            </w:r>
          </w:p>
        </w:tc>
        <w:tc>
          <w:tcPr>
            <w:tcW w:w="2738" w:type="dxa"/>
            <w:gridSpan w:val="2"/>
          </w:tcPr>
          <w:p w:rsidR="00362FD7" w:rsidRPr="007E2FB4" w:rsidRDefault="00362FD7" w:rsidP="00DC6768">
            <w:pPr>
              <w:rPr>
                <w:rFonts w:ascii="Arial" w:hAnsi="Arial" w:cs="Arial"/>
                <w:b/>
              </w:rPr>
            </w:pPr>
            <w:r w:rsidRPr="007E2FB4">
              <w:rPr>
                <w:rFonts w:ascii="Arial" w:hAnsi="Arial" w:cs="Arial"/>
                <w:iCs/>
                <w:color w:val="000000"/>
              </w:rPr>
              <w:t>Invest and realise the full potential of our staff to provide compassionate and personalised care</w:t>
            </w:r>
          </w:p>
        </w:tc>
        <w:tc>
          <w:tcPr>
            <w:tcW w:w="382" w:type="dxa"/>
          </w:tcPr>
          <w:p w:rsidR="00362FD7" w:rsidRDefault="00A15D19" w:rsidP="00DC6768">
            <w:pPr>
              <w:rPr>
                <w:rFonts w:ascii="Arial" w:hAnsi="Arial" w:cs="Arial"/>
              </w:rPr>
            </w:pPr>
            <w:r>
              <w:rPr>
                <w:rFonts w:ascii="Arial" w:hAnsi="Arial" w:cs="Arial"/>
              </w:rPr>
              <w:t>x</w:t>
            </w:r>
          </w:p>
        </w:tc>
      </w:tr>
      <w:tr w:rsidR="00362FD7" w:rsidTr="00362FD7">
        <w:tc>
          <w:tcPr>
            <w:tcW w:w="2739" w:type="dxa"/>
            <w:gridSpan w:val="2"/>
            <w:tcBorders>
              <w:bottom w:val="single" w:sz="4" w:space="0" w:color="auto"/>
            </w:tcBorders>
          </w:tcPr>
          <w:p w:rsidR="00362FD7" w:rsidRPr="007E2FB4" w:rsidRDefault="00362FD7" w:rsidP="00DC6768">
            <w:pPr>
              <w:rPr>
                <w:rFonts w:ascii="Arial" w:hAnsi="Arial" w:cs="Arial"/>
                <w:iCs/>
                <w:color w:val="000000"/>
              </w:rPr>
            </w:pPr>
            <w:r w:rsidRPr="007E2FB4">
              <w:rPr>
                <w:rFonts w:ascii="Arial" w:hAnsi="Arial" w:cs="Arial"/>
                <w:iCs/>
                <w:color w:val="000000"/>
              </w:rPr>
              <w:t>Ensure the Trust is financially viable and makes the best use of resources for our patients</w:t>
            </w:r>
          </w:p>
        </w:tc>
        <w:tc>
          <w:tcPr>
            <w:tcW w:w="382" w:type="dxa"/>
            <w:tcBorders>
              <w:bottom w:val="single" w:sz="4" w:space="0" w:color="auto"/>
            </w:tcBorders>
          </w:tcPr>
          <w:p w:rsidR="00362FD7" w:rsidRDefault="00D95381" w:rsidP="00362FD7">
            <w:pPr>
              <w:rPr>
                <w:rFonts w:ascii="Arial" w:hAnsi="Arial" w:cs="Arial"/>
              </w:rPr>
            </w:pPr>
            <w:r>
              <w:rPr>
                <w:rFonts w:ascii="Arial" w:hAnsi="Arial" w:cs="Arial"/>
              </w:rPr>
              <w:t>x</w:t>
            </w:r>
          </w:p>
        </w:tc>
        <w:tc>
          <w:tcPr>
            <w:tcW w:w="2699" w:type="dxa"/>
            <w:gridSpan w:val="2"/>
            <w:tcBorders>
              <w:bottom w:val="single" w:sz="4" w:space="0" w:color="auto"/>
            </w:tcBorders>
          </w:tcPr>
          <w:p w:rsidR="00362FD7" w:rsidRDefault="00362FD7" w:rsidP="00362FD7">
            <w:pPr>
              <w:rPr>
                <w:rFonts w:ascii="Arial" w:hAnsi="Arial" w:cs="Arial"/>
              </w:rPr>
            </w:pPr>
            <w:r w:rsidRPr="007E2FB4">
              <w:rPr>
                <w:rFonts w:ascii="Arial" w:hAnsi="Arial" w:cs="Arial"/>
                <w:iCs/>
                <w:color w:val="000000"/>
              </w:rPr>
              <w:t>Develop and sustain our business</w:t>
            </w:r>
          </w:p>
        </w:tc>
        <w:tc>
          <w:tcPr>
            <w:tcW w:w="382" w:type="dxa"/>
            <w:tcBorders>
              <w:bottom w:val="single" w:sz="4" w:space="0" w:color="auto"/>
            </w:tcBorders>
          </w:tcPr>
          <w:p w:rsidR="00362FD7" w:rsidRDefault="00A15D19" w:rsidP="00362FD7">
            <w:pPr>
              <w:rPr>
                <w:rFonts w:ascii="Arial" w:hAnsi="Arial" w:cs="Arial"/>
              </w:rPr>
            </w:pPr>
            <w:r>
              <w:rPr>
                <w:rFonts w:ascii="Arial" w:hAnsi="Arial" w:cs="Arial"/>
              </w:rPr>
              <w:t>x</w:t>
            </w:r>
          </w:p>
        </w:tc>
        <w:tc>
          <w:tcPr>
            <w:tcW w:w="2738" w:type="dxa"/>
            <w:gridSpan w:val="2"/>
            <w:tcBorders>
              <w:bottom w:val="single" w:sz="4" w:space="0" w:color="auto"/>
            </w:tcBorders>
          </w:tcPr>
          <w:p w:rsidR="00362FD7" w:rsidRDefault="00362FD7" w:rsidP="00362FD7">
            <w:pPr>
              <w:rPr>
                <w:rFonts w:ascii="Arial" w:hAnsi="Arial" w:cs="Arial"/>
              </w:rPr>
            </w:pPr>
          </w:p>
        </w:tc>
        <w:tc>
          <w:tcPr>
            <w:tcW w:w="382" w:type="dxa"/>
            <w:tcBorders>
              <w:bottom w:val="single" w:sz="4" w:space="0" w:color="auto"/>
            </w:tcBorders>
          </w:tcPr>
          <w:p w:rsidR="00362FD7" w:rsidRDefault="00362FD7" w:rsidP="00362FD7">
            <w:pPr>
              <w:rPr>
                <w:rFonts w:ascii="Arial" w:hAnsi="Arial" w:cs="Arial"/>
              </w:rPr>
            </w:pPr>
          </w:p>
        </w:tc>
      </w:tr>
      <w:tr w:rsidR="00362FD7" w:rsidTr="00362FD7">
        <w:tc>
          <w:tcPr>
            <w:tcW w:w="9322" w:type="dxa"/>
            <w:gridSpan w:val="9"/>
            <w:tcBorders>
              <w:left w:val="nil"/>
              <w:right w:val="nil"/>
            </w:tcBorders>
          </w:tcPr>
          <w:p w:rsidR="00362FD7" w:rsidRPr="00F10F63" w:rsidRDefault="00362FD7" w:rsidP="00DC6768">
            <w:pPr>
              <w:rPr>
                <w:rFonts w:ascii="Arial" w:hAnsi="Arial" w:cs="Arial"/>
                <w:b/>
              </w:rPr>
            </w:pPr>
          </w:p>
        </w:tc>
      </w:tr>
      <w:tr w:rsidR="00362FD7" w:rsidTr="00362FD7">
        <w:tc>
          <w:tcPr>
            <w:tcW w:w="9322" w:type="dxa"/>
            <w:gridSpan w:val="9"/>
          </w:tcPr>
          <w:p w:rsidR="00362FD7" w:rsidRDefault="00362FD7" w:rsidP="00DC6768">
            <w:pPr>
              <w:rPr>
                <w:rFonts w:ascii="Arial" w:hAnsi="Arial" w:cs="Arial"/>
              </w:rPr>
            </w:pPr>
            <w:r w:rsidRPr="00F10F63">
              <w:rPr>
                <w:rFonts w:ascii="Arial" w:hAnsi="Arial" w:cs="Arial"/>
                <w:b/>
              </w:rPr>
              <w:t>Alignment to the Single Oversight Framework</w:t>
            </w:r>
          </w:p>
        </w:tc>
      </w:tr>
      <w:tr w:rsidR="00362FD7" w:rsidTr="00362FD7">
        <w:tc>
          <w:tcPr>
            <w:tcW w:w="2739" w:type="dxa"/>
            <w:gridSpan w:val="2"/>
          </w:tcPr>
          <w:p w:rsidR="00362FD7" w:rsidRPr="00507A6C" w:rsidRDefault="00362FD7" w:rsidP="00DC6768">
            <w:pPr>
              <w:rPr>
                <w:rFonts w:ascii="Arial" w:hAnsi="Arial" w:cs="Arial"/>
                <w:i/>
                <w:iCs/>
                <w:color w:val="000000"/>
                <w:szCs w:val="24"/>
              </w:rPr>
            </w:pPr>
            <w:r w:rsidRPr="00507A6C">
              <w:rPr>
                <w:rFonts w:ascii="Arial" w:hAnsi="Arial" w:cs="Arial"/>
                <w:szCs w:val="24"/>
              </w:rPr>
              <w:t>Leadership and Improvement Capability</w:t>
            </w:r>
          </w:p>
        </w:tc>
        <w:tc>
          <w:tcPr>
            <w:tcW w:w="382" w:type="dxa"/>
          </w:tcPr>
          <w:p w:rsidR="00362FD7" w:rsidRDefault="00362FD7" w:rsidP="00DC6768">
            <w:pPr>
              <w:rPr>
                <w:rFonts w:ascii="Arial" w:hAnsi="Arial" w:cs="Arial"/>
              </w:rPr>
            </w:pPr>
          </w:p>
        </w:tc>
        <w:tc>
          <w:tcPr>
            <w:tcW w:w="2699" w:type="dxa"/>
            <w:gridSpan w:val="2"/>
          </w:tcPr>
          <w:p w:rsidR="00362FD7" w:rsidRPr="00507A6C" w:rsidRDefault="00362FD7" w:rsidP="00DC6768">
            <w:pPr>
              <w:rPr>
                <w:rFonts w:ascii="Arial" w:hAnsi="Arial" w:cs="Arial"/>
                <w:i/>
                <w:iCs/>
                <w:color w:val="000000"/>
                <w:szCs w:val="24"/>
              </w:rPr>
            </w:pPr>
            <w:r w:rsidRPr="00507A6C">
              <w:rPr>
                <w:rFonts w:ascii="Arial" w:hAnsi="Arial" w:cs="Arial"/>
                <w:szCs w:val="24"/>
              </w:rPr>
              <w:t>Operational Performance</w:t>
            </w:r>
          </w:p>
        </w:tc>
        <w:tc>
          <w:tcPr>
            <w:tcW w:w="382" w:type="dxa"/>
          </w:tcPr>
          <w:p w:rsidR="00362FD7" w:rsidRDefault="00362FD7" w:rsidP="00DC6768">
            <w:pPr>
              <w:rPr>
                <w:rFonts w:ascii="Arial" w:hAnsi="Arial" w:cs="Arial"/>
              </w:rPr>
            </w:pPr>
          </w:p>
        </w:tc>
        <w:tc>
          <w:tcPr>
            <w:tcW w:w="2738" w:type="dxa"/>
            <w:gridSpan w:val="2"/>
          </w:tcPr>
          <w:p w:rsidR="00362FD7" w:rsidRPr="00507A6C" w:rsidRDefault="00362FD7" w:rsidP="00DC6768">
            <w:pPr>
              <w:rPr>
                <w:rFonts w:ascii="Arial" w:hAnsi="Arial" w:cs="Arial"/>
                <w:i/>
                <w:szCs w:val="24"/>
                <w:lang w:eastAsia="en-GB"/>
              </w:rPr>
            </w:pPr>
            <w:r w:rsidRPr="00507A6C">
              <w:rPr>
                <w:rFonts w:ascii="Arial" w:hAnsi="Arial" w:cs="Arial"/>
                <w:szCs w:val="24"/>
              </w:rPr>
              <w:t>Quality of Care</w:t>
            </w:r>
          </w:p>
        </w:tc>
        <w:tc>
          <w:tcPr>
            <w:tcW w:w="382" w:type="dxa"/>
          </w:tcPr>
          <w:p w:rsidR="00362FD7" w:rsidRDefault="00A15D19" w:rsidP="00DC6768">
            <w:pPr>
              <w:rPr>
                <w:rFonts w:ascii="Arial" w:hAnsi="Arial" w:cs="Arial"/>
              </w:rPr>
            </w:pPr>
            <w:r>
              <w:rPr>
                <w:rFonts w:ascii="Arial" w:hAnsi="Arial" w:cs="Arial"/>
              </w:rPr>
              <w:t>x</w:t>
            </w:r>
          </w:p>
        </w:tc>
      </w:tr>
      <w:tr w:rsidR="00362FD7" w:rsidTr="00362FD7">
        <w:tc>
          <w:tcPr>
            <w:tcW w:w="2739" w:type="dxa"/>
            <w:gridSpan w:val="2"/>
          </w:tcPr>
          <w:p w:rsidR="00362FD7" w:rsidRPr="00507A6C" w:rsidRDefault="00362FD7" w:rsidP="00DC6768">
            <w:pPr>
              <w:rPr>
                <w:rFonts w:ascii="Arial" w:hAnsi="Arial" w:cs="Arial"/>
                <w:i/>
                <w:szCs w:val="24"/>
                <w:lang w:eastAsia="en-GB"/>
              </w:rPr>
            </w:pPr>
            <w:r w:rsidRPr="00507A6C">
              <w:rPr>
                <w:rFonts w:ascii="Arial" w:hAnsi="Arial" w:cs="Arial"/>
                <w:szCs w:val="24"/>
              </w:rPr>
              <w:t>Finance and use of resources</w:t>
            </w:r>
          </w:p>
        </w:tc>
        <w:tc>
          <w:tcPr>
            <w:tcW w:w="382" w:type="dxa"/>
          </w:tcPr>
          <w:p w:rsidR="00362FD7" w:rsidRDefault="00A15D19" w:rsidP="00DC6768">
            <w:pPr>
              <w:rPr>
                <w:rFonts w:ascii="Arial" w:hAnsi="Arial" w:cs="Arial"/>
              </w:rPr>
            </w:pPr>
            <w:r>
              <w:rPr>
                <w:rFonts w:ascii="Arial" w:hAnsi="Arial" w:cs="Arial"/>
              </w:rPr>
              <w:t>x</w:t>
            </w:r>
          </w:p>
        </w:tc>
        <w:tc>
          <w:tcPr>
            <w:tcW w:w="2699" w:type="dxa"/>
            <w:gridSpan w:val="2"/>
          </w:tcPr>
          <w:p w:rsidR="00362FD7" w:rsidRPr="00507A6C" w:rsidRDefault="00362FD7" w:rsidP="00DC6768">
            <w:pPr>
              <w:rPr>
                <w:rFonts w:ascii="Arial" w:hAnsi="Arial" w:cs="Arial"/>
                <w:i/>
                <w:szCs w:val="24"/>
                <w:lang w:eastAsia="en-GB"/>
              </w:rPr>
            </w:pPr>
            <w:r w:rsidRPr="00507A6C">
              <w:rPr>
                <w:rFonts w:ascii="Arial" w:hAnsi="Arial" w:cs="Arial"/>
                <w:szCs w:val="24"/>
              </w:rPr>
              <w:t>Strategic Change</w:t>
            </w:r>
          </w:p>
        </w:tc>
        <w:tc>
          <w:tcPr>
            <w:tcW w:w="382" w:type="dxa"/>
          </w:tcPr>
          <w:p w:rsidR="00362FD7" w:rsidRDefault="00362FD7" w:rsidP="00DC6768">
            <w:pPr>
              <w:rPr>
                <w:rFonts w:ascii="Arial" w:hAnsi="Arial" w:cs="Arial"/>
              </w:rPr>
            </w:pPr>
          </w:p>
        </w:tc>
        <w:tc>
          <w:tcPr>
            <w:tcW w:w="2738" w:type="dxa"/>
            <w:gridSpan w:val="2"/>
          </w:tcPr>
          <w:p w:rsidR="00362FD7" w:rsidRPr="00507A6C" w:rsidRDefault="00362FD7" w:rsidP="00DC6768">
            <w:pPr>
              <w:rPr>
                <w:rFonts w:ascii="Arial" w:hAnsi="Arial" w:cs="Arial"/>
                <w:i/>
                <w:szCs w:val="24"/>
                <w:lang w:eastAsia="en-GB"/>
              </w:rPr>
            </w:pPr>
            <w:r w:rsidRPr="00507A6C">
              <w:rPr>
                <w:rFonts w:ascii="Arial" w:hAnsi="Arial" w:cs="Arial"/>
                <w:szCs w:val="24"/>
              </w:rPr>
              <w:t>Stakeholders</w:t>
            </w:r>
          </w:p>
        </w:tc>
        <w:tc>
          <w:tcPr>
            <w:tcW w:w="382" w:type="dxa"/>
          </w:tcPr>
          <w:p w:rsidR="00362FD7" w:rsidRDefault="00362FD7" w:rsidP="00DC6768">
            <w:pPr>
              <w:rPr>
                <w:rFonts w:ascii="Arial" w:hAnsi="Arial" w:cs="Arial"/>
              </w:rPr>
            </w:pPr>
          </w:p>
        </w:tc>
      </w:tr>
    </w:tbl>
    <w:tbl>
      <w:tblPr>
        <w:tblStyle w:val="TableGrid1"/>
        <w:tblW w:w="9322" w:type="dxa"/>
        <w:tblLook w:val="04A0" w:firstRow="1" w:lastRow="0" w:firstColumn="1" w:lastColumn="0" w:noHBand="0" w:noVBand="1"/>
      </w:tblPr>
      <w:tblGrid>
        <w:gridCol w:w="2217"/>
        <w:gridCol w:w="863"/>
        <w:gridCol w:w="2995"/>
        <w:gridCol w:w="3247"/>
      </w:tblGrid>
      <w:tr w:rsidR="00362FD7" w:rsidRPr="00840488" w:rsidTr="00362FD7">
        <w:tc>
          <w:tcPr>
            <w:tcW w:w="2217" w:type="dxa"/>
            <w:tcBorders>
              <w:left w:val="nil"/>
              <w:right w:val="nil"/>
            </w:tcBorders>
          </w:tcPr>
          <w:p w:rsidR="00362FD7" w:rsidRPr="00840488" w:rsidRDefault="00362FD7" w:rsidP="00DC6768">
            <w:pPr>
              <w:rPr>
                <w:rFonts w:ascii="Arial" w:hAnsi="Arial" w:cs="Arial"/>
              </w:rPr>
            </w:pPr>
          </w:p>
        </w:tc>
        <w:tc>
          <w:tcPr>
            <w:tcW w:w="7105" w:type="dxa"/>
            <w:gridSpan w:val="3"/>
            <w:tcBorders>
              <w:left w:val="nil"/>
              <w:right w:val="nil"/>
            </w:tcBorders>
          </w:tcPr>
          <w:p w:rsidR="00362FD7" w:rsidRPr="00840488" w:rsidRDefault="00362FD7" w:rsidP="00DC6768">
            <w:pPr>
              <w:rPr>
                <w:rFonts w:ascii="Arial" w:hAnsi="Arial" w:cs="Arial"/>
                <w:i/>
                <w:iCs/>
                <w:color w:val="000000"/>
              </w:rPr>
            </w:pPr>
          </w:p>
        </w:tc>
      </w:tr>
      <w:tr w:rsidR="00362FD7" w:rsidRPr="00840488" w:rsidTr="00A6465C">
        <w:tc>
          <w:tcPr>
            <w:tcW w:w="9322" w:type="dxa"/>
            <w:gridSpan w:val="4"/>
            <w:shd w:val="clear" w:color="auto" w:fill="FBD4B4" w:themeFill="accent6" w:themeFillTint="66"/>
          </w:tcPr>
          <w:p w:rsidR="00362FD7" w:rsidRPr="00F10F63" w:rsidRDefault="00362FD7" w:rsidP="00DC6768">
            <w:pPr>
              <w:rPr>
                <w:rFonts w:ascii="Arial" w:hAnsi="Arial" w:cs="Arial"/>
                <w:b/>
                <w:i/>
                <w:iCs/>
                <w:color w:val="000000"/>
              </w:rPr>
            </w:pPr>
            <w:r w:rsidRPr="00F10F63">
              <w:rPr>
                <w:rFonts w:ascii="Arial" w:hAnsi="Arial" w:cs="Arial"/>
                <w:b/>
              </w:rPr>
              <w:t xml:space="preserve">Report previously reviewed by </w:t>
            </w:r>
          </w:p>
        </w:tc>
      </w:tr>
      <w:tr w:rsidR="00362FD7" w:rsidRPr="00840488" w:rsidTr="00362FD7">
        <w:tc>
          <w:tcPr>
            <w:tcW w:w="3080" w:type="dxa"/>
            <w:gridSpan w:val="2"/>
          </w:tcPr>
          <w:p w:rsidR="00362FD7" w:rsidRPr="00840488" w:rsidRDefault="00362FD7" w:rsidP="00DC6768">
            <w:pPr>
              <w:rPr>
                <w:rFonts w:ascii="Arial" w:hAnsi="Arial" w:cs="Arial"/>
              </w:rPr>
            </w:pPr>
            <w:r w:rsidRPr="00840488">
              <w:rPr>
                <w:rFonts w:ascii="Arial" w:hAnsi="Arial" w:cs="Arial"/>
              </w:rPr>
              <w:t>Committee/Group</w:t>
            </w:r>
          </w:p>
        </w:tc>
        <w:tc>
          <w:tcPr>
            <w:tcW w:w="2995" w:type="dxa"/>
          </w:tcPr>
          <w:p w:rsidR="00362FD7" w:rsidRPr="00840488" w:rsidRDefault="00362FD7" w:rsidP="00DC6768">
            <w:pPr>
              <w:rPr>
                <w:rFonts w:ascii="Arial" w:hAnsi="Arial" w:cs="Arial"/>
              </w:rPr>
            </w:pPr>
            <w:r w:rsidRPr="00840488">
              <w:rPr>
                <w:rFonts w:ascii="Arial" w:hAnsi="Arial" w:cs="Arial"/>
              </w:rPr>
              <w:t>Date</w:t>
            </w:r>
          </w:p>
        </w:tc>
        <w:tc>
          <w:tcPr>
            <w:tcW w:w="3247" w:type="dxa"/>
          </w:tcPr>
          <w:p w:rsidR="00362FD7" w:rsidRPr="00840488" w:rsidRDefault="00362FD7" w:rsidP="00DC6768">
            <w:pPr>
              <w:rPr>
                <w:rFonts w:ascii="Arial" w:hAnsi="Arial" w:cs="Arial"/>
              </w:rPr>
            </w:pPr>
            <w:r w:rsidRPr="00840488">
              <w:rPr>
                <w:rFonts w:ascii="Arial" w:hAnsi="Arial" w:cs="Arial"/>
              </w:rPr>
              <w:t>Outcome</w:t>
            </w:r>
          </w:p>
        </w:tc>
      </w:tr>
      <w:tr w:rsidR="00362FD7" w:rsidRPr="00840488" w:rsidTr="00362FD7">
        <w:tc>
          <w:tcPr>
            <w:tcW w:w="3080" w:type="dxa"/>
            <w:gridSpan w:val="2"/>
            <w:tcBorders>
              <w:bottom w:val="single" w:sz="4" w:space="0" w:color="auto"/>
            </w:tcBorders>
          </w:tcPr>
          <w:p w:rsidR="00362FD7" w:rsidRPr="00840488" w:rsidRDefault="00A6465C" w:rsidP="00DC6768">
            <w:pPr>
              <w:rPr>
                <w:rFonts w:ascii="Arial" w:hAnsi="Arial" w:cs="Arial"/>
              </w:rPr>
            </w:pPr>
            <w:r>
              <w:rPr>
                <w:rFonts w:ascii="Arial" w:hAnsi="Arial" w:cs="Arial"/>
              </w:rPr>
              <w:t>People and Culture Committee</w:t>
            </w:r>
          </w:p>
        </w:tc>
        <w:tc>
          <w:tcPr>
            <w:tcW w:w="2995" w:type="dxa"/>
            <w:tcBorders>
              <w:bottom w:val="single" w:sz="4" w:space="0" w:color="auto"/>
            </w:tcBorders>
          </w:tcPr>
          <w:p w:rsidR="00362FD7" w:rsidRPr="00840488" w:rsidRDefault="00A6465C" w:rsidP="00DC6768">
            <w:pPr>
              <w:rPr>
                <w:rFonts w:ascii="Arial" w:hAnsi="Arial" w:cs="Arial"/>
              </w:rPr>
            </w:pPr>
            <w:r>
              <w:rPr>
                <w:rFonts w:ascii="Arial" w:hAnsi="Arial" w:cs="Arial"/>
              </w:rPr>
              <w:t>9 July 2018</w:t>
            </w:r>
          </w:p>
        </w:tc>
        <w:tc>
          <w:tcPr>
            <w:tcW w:w="3247" w:type="dxa"/>
            <w:tcBorders>
              <w:bottom w:val="single" w:sz="4" w:space="0" w:color="auto"/>
            </w:tcBorders>
          </w:tcPr>
          <w:p w:rsidR="00362FD7" w:rsidRPr="00840488" w:rsidRDefault="00A6465C" w:rsidP="00DC6768">
            <w:pPr>
              <w:rPr>
                <w:rFonts w:ascii="Arial" w:hAnsi="Arial" w:cs="Arial"/>
              </w:rPr>
            </w:pPr>
            <w:r>
              <w:rPr>
                <w:rFonts w:ascii="Arial" w:hAnsi="Arial" w:cs="Arial"/>
              </w:rPr>
              <w:t>Approved for submission to Trust Board</w:t>
            </w:r>
          </w:p>
        </w:tc>
      </w:tr>
      <w:tr w:rsidR="00362FD7" w:rsidRPr="00840488" w:rsidTr="00362FD7">
        <w:tc>
          <w:tcPr>
            <w:tcW w:w="3080" w:type="dxa"/>
            <w:gridSpan w:val="2"/>
            <w:tcBorders>
              <w:left w:val="nil"/>
              <w:right w:val="nil"/>
            </w:tcBorders>
          </w:tcPr>
          <w:p w:rsidR="00362FD7" w:rsidRPr="00840488" w:rsidRDefault="00362FD7" w:rsidP="00DC6768">
            <w:pPr>
              <w:rPr>
                <w:rFonts w:ascii="Arial" w:hAnsi="Arial" w:cs="Arial"/>
              </w:rPr>
            </w:pPr>
          </w:p>
        </w:tc>
        <w:tc>
          <w:tcPr>
            <w:tcW w:w="2995" w:type="dxa"/>
            <w:tcBorders>
              <w:left w:val="nil"/>
              <w:right w:val="nil"/>
            </w:tcBorders>
          </w:tcPr>
          <w:p w:rsidR="00362FD7" w:rsidRPr="00840488" w:rsidRDefault="00362FD7" w:rsidP="00DC6768">
            <w:pPr>
              <w:rPr>
                <w:rFonts w:ascii="Arial" w:hAnsi="Arial" w:cs="Arial"/>
              </w:rPr>
            </w:pPr>
          </w:p>
        </w:tc>
        <w:tc>
          <w:tcPr>
            <w:tcW w:w="3247" w:type="dxa"/>
            <w:tcBorders>
              <w:left w:val="nil"/>
              <w:right w:val="nil"/>
            </w:tcBorders>
          </w:tcPr>
          <w:p w:rsidR="00362FD7" w:rsidRPr="00840488" w:rsidRDefault="00362FD7" w:rsidP="00DC6768">
            <w:pPr>
              <w:rPr>
                <w:rFonts w:ascii="Arial" w:hAnsi="Arial" w:cs="Arial"/>
              </w:rPr>
            </w:pPr>
          </w:p>
        </w:tc>
      </w:tr>
    </w:tbl>
    <w:tbl>
      <w:tblPr>
        <w:tblStyle w:val="TableGrid2"/>
        <w:tblW w:w="9322" w:type="dxa"/>
        <w:tblLook w:val="04A0" w:firstRow="1" w:lastRow="0" w:firstColumn="1" w:lastColumn="0" w:noHBand="0" w:noVBand="1"/>
      </w:tblPr>
      <w:tblGrid>
        <w:gridCol w:w="2376"/>
        <w:gridCol w:w="518"/>
        <w:gridCol w:w="1609"/>
        <w:gridCol w:w="514"/>
        <w:gridCol w:w="53"/>
        <w:gridCol w:w="708"/>
        <w:gridCol w:w="984"/>
        <w:gridCol w:w="436"/>
        <w:gridCol w:w="1132"/>
        <w:gridCol w:w="425"/>
        <w:gridCol w:w="487"/>
        <w:gridCol w:w="80"/>
      </w:tblGrid>
      <w:tr w:rsidR="00AC452A" w:rsidRPr="00840488" w:rsidTr="00A6465C">
        <w:trPr>
          <w:gridAfter w:val="1"/>
          <w:wAfter w:w="80" w:type="dxa"/>
        </w:trPr>
        <w:tc>
          <w:tcPr>
            <w:tcW w:w="5070" w:type="dxa"/>
            <w:gridSpan w:val="5"/>
            <w:tcBorders>
              <w:bottom w:val="single" w:sz="4" w:space="0" w:color="auto"/>
            </w:tcBorders>
            <w:shd w:val="clear" w:color="auto" w:fill="FBD4B4" w:themeFill="accent6" w:themeFillTint="66"/>
          </w:tcPr>
          <w:p w:rsidR="00AC452A" w:rsidRPr="00840488" w:rsidRDefault="00AC452A" w:rsidP="00DC6768">
            <w:pPr>
              <w:rPr>
                <w:rFonts w:ascii="Arial" w:hAnsi="Arial" w:cs="Arial"/>
              </w:rPr>
            </w:pPr>
            <w:r w:rsidRPr="00F10F63">
              <w:rPr>
                <w:rFonts w:ascii="Arial" w:hAnsi="Arial" w:cs="Arial"/>
                <w:b/>
              </w:rPr>
              <w:t>Assurance</w:t>
            </w:r>
            <w:r w:rsidRPr="00840488">
              <w:rPr>
                <w:rFonts w:ascii="Arial" w:hAnsi="Arial" w:cs="Arial"/>
              </w:rPr>
              <w:t xml:space="preserve">: </w:t>
            </w:r>
            <w:r w:rsidRPr="00FF779E">
              <w:rPr>
                <w:rFonts w:ascii="Arial" w:hAnsi="Arial" w:cs="Arial"/>
                <w:i/>
              </w:rPr>
              <w:t>Does this report provide assurance in respect of the Board Assurance Framework strategic risks?</w:t>
            </w:r>
            <w:r w:rsidRPr="00840488">
              <w:rPr>
                <w:rFonts w:ascii="Arial" w:hAnsi="Arial" w:cs="Arial"/>
              </w:rPr>
              <w:t xml:space="preserve"> </w:t>
            </w:r>
          </w:p>
        </w:tc>
        <w:tc>
          <w:tcPr>
            <w:tcW w:w="708" w:type="dxa"/>
            <w:tcBorders>
              <w:bottom w:val="single" w:sz="4" w:space="0" w:color="auto"/>
            </w:tcBorders>
            <w:shd w:val="clear" w:color="auto" w:fill="auto"/>
          </w:tcPr>
          <w:p w:rsidR="00AC452A" w:rsidRPr="00840488" w:rsidRDefault="00D95381" w:rsidP="00DC6768">
            <w:pPr>
              <w:rPr>
                <w:rFonts w:ascii="Arial" w:hAnsi="Arial" w:cs="Arial"/>
              </w:rPr>
            </w:pPr>
            <w:r>
              <w:rPr>
                <w:rFonts w:ascii="Arial" w:hAnsi="Arial" w:cs="Arial"/>
              </w:rPr>
              <w:t>Y</w:t>
            </w:r>
            <w:r w:rsidR="00AC452A">
              <w:rPr>
                <w:rFonts w:ascii="Arial" w:hAnsi="Arial" w:cs="Arial"/>
              </w:rPr>
              <w:t xml:space="preserve"> </w:t>
            </w:r>
          </w:p>
        </w:tc>
        <w:tc>
          <w:tcPr>
            <w:tcW w:w="2552" w:type="dxa"/>
            <w:gridSpan w:val="3"/>
            <w:tcBorders>
              <w:bottom w:val="single" w:sz="4" w:space="0" w:color="auto"/>
            </w:tcBorders>
            <w:shd w:val="clear" w:color="auto" w:fill="FBD4B4" w:themeFill="accent6" w:themeFillTint="66"/>
          </w:tcPr>
          <w:p w:rsidR="00AC452A" w:rsidRPr="00840488" w:rsidRDefault="00AC452A" w:rsidP="00DC6768">
            <w:pPr>
              <w:rPr>
                <w:rFonts w:ascii="Arial" w:hAnsi="Arial" w:cs="Arial"/>
              </w:rPr>
            </w:pPr>
            <w:r>
              <w:rPr>
                <w:rFonts w:ascii="Arial" w:hAnsi="Arial" w:cs="Arial"/>
              </w:rPr>
              <w:t>BAF number(s)</w:t>
            </w:r>
          </w:p>
        </w:tc>
        <w:tc>
          <w:tcPr>
            <w:tcW w:w="912" w:type="dxa"/>
            <w:gridSpan w:val="2"/>
            <w:tcBorders>
              <w:bottom w:val="single" w:sz="4" w:space="0" w:color="auto"/>
            </w:tcBorders>
            <w:shd w:val="clear" w:color="auto" w:fill="auto"/>
          </w:tcPr>
          <w:p w:rsidR="00AC452A" w:rsidRPr="00840488" w:rsidRDefault="00D95381" w:rsidP="00DC6768">
            <w:pPr>
              <w:rPr>
                <w:rFonts w:ascii="Arial" w:hAnsi="Arial" w:cs="Arial"/>
              </w:rPr>
            </w:pPr>
            <w:r>
              <w:rPr>
                <w:rFonts w:ascii="Arial" w:hAnsi="Arial" w:cs="Arial"/>
              </w:rPr>
              <w:t>1.1</w:t>
            </w:r>
          </w:p>
        </w:tc>
      </w:tr>
      <w:tr w:rsidR="00A6465C" w:rsidRPr="00840488" w:rsidTr="00A6465C">
        <w:tc>
          <w:tcPr>
            <w:tcW w:w="9322" w:type="dxa"/>
            <w:gridSpan w:val="12"/>
            <w:tcBorders>
              <w:bottom w:val="single" w:sz="4" w:space="0" w:color="auto"/>
            </w:tcBorders>
            <w:shd w:val="clear" w:color="auto" w:fill="auto"/>
          </w:tcPr>
          <w:p w:rsidR="00A6465C" w:rsidRPr="00840488" w:rsidRDefault="00A6465C" w:rsidP="00DE2C55">
            <w:pPr>
              <w:spacing w:before="60" w:after="60"/>
              <w:rPr>
                <w:rFonts w:ascii="Arial" w:hAnsi="Arial" w:cs="Arial"/>
              </w:rPr>
            </w:pPr>
            <w:r>
              <w:rPr>
                <w:rFonts w:ascii="Arial" w:hAnsi="Arial" w:cs="Arial"/>
                <w:b/>
              </w:rPr>
              <w:t xml:space="preserve">Assurance </w:t>
            </w:r>
            <w:r>
              <w:rPr>
                <w:rFonts w:ascii="Arial" w:hAnsi="Arial" w:cs="Arial"/>
              </w:rPr>
              <w:t>in respect of: process/outcome/other (</w:t>
            </w:r>
            <w:r w:rsidRPr="008229A0">
              <w:rPr>
                <w:rFonts w:ascii="Arial" w:hAnsi="Arial" w:cs="Arial"/>
                <w:i/>
              </w:rPr>
              <w:t>please detail</w:t>
            </w:r>
            <w:r>
              <w:rPr>
                <w:rFonts w:ascii="Arial" w:hAnsi="Arial" w:cs="Arial"/>
              </w:rPr>
              <w:t>) ……………………….</w:t>
            </w:r>
          </w:p>
        </w:tc>
      </w:tr>
      <w:tr w:rsidR="00A6465C" w:rsidRPr="00840488" w:rsidTr="00A6465C">
        <w:trPr>
          <w:trHeight w:val="439"/>
        </w:trPr>
        <w:tc>
          <w:tcPr>
            <w:tcW w:w="2376" w:type="dxa"/>
            <w:tcBorders>
              <w:left w:val="single" w:sz="4" w:space="0" w:color="auto"/>
              <w:bottom w:val="nil"/>
              <w:right w:val="nil"/>
            </w:tcBorders>
          </w:tcPr>
          <w:p w:rsidR="00A6465C" w:rsidRPr="00840488" w:rsidRDefault="00A6465C" w:rsidP="00DE2C55">
            <w:pPr>
              <w:rPr>
                <w:rFonts w:ascii="Arial" w:hAnsi="Arial" w:cs="Arial"/>
              </w:rPr>
            </w:pPr>
            <w:r>
              <w:rPr>
                <w:rFonts w:ascii="Arial" w:hAnsi="Arial" w:cs="Arial"/>
                <w:b/>
                <w:bCs/>
              </w:rPr>
              <w:t>Significant</w:t>
            </w:r>
            <w:r w:rsidRPr="0099348F">
              <w:rPr>
                <w:rFonts w:ascii="Arial" w:hAnsi="Arial" w:cs="Arial"/>
                <w:b/>
                <w:bCs/>
              </w:rPr>
              <w:t xml:space="preserve"> assurance</w:t>
            </w:r>
          </w:p>
        </w:tc>
        <w:sdt>
          <w:sdtPr>
            <w:rPr>
              <w:rFonts w:ascii="Arial" w:hAnsi="Arial" w:cs="Arial"/>
            </w:rPr>
            <w:id w:val="1311750462"/>
            <w14:checkbox>
              <w14:checked w14:val="0"/>
              <w14:checkedState w14:val="2612" w14:font="MS Gothic"/>
              <w14:uncheckedState w14:val="2610" w14:font="MS Gothic"/>
            </w14:checkbox>
          </w:sdtPr>
          <w:sdtEndPr/>
          <w:sdtContent>
            <w:tc>
              <w:tcPr>
                <w:tcW w:w="518" w:type="dxa"/>
                <w:tcBorders>
                  <w:top w:val="nil"/>
                  <w:left w:val="nil"/>
                  <w:bottom w:val="nil"/>
                  <w:right w:val="single" w:sz="4" w:space="0" w:color="auto"/>
                </w:tcBorders>
              </w:tcPr>
              <w:p w:rsidR="00A6465C" w:rsidRPr="0099348F" w:rsidRDefault="00A6465C" w:rsidP="00DE2C55">
                <w:pPr>
                  <w:rPr>
                    <w:rFonts w:ascii="Arial" w:hAnsi="Arial" w:cs="Arial"/>
                  </w:rPr>
                </w:pPr>
                <w:r>
                  <w:rPr>
                    <w:rFonts w:ascii="MS Gothic" w:eastAsia="MS Gothic" w:hAnsi="MS Gothic" w:cs="Arial" w:hint="eastAsia"/>
                  </w:rPr>
                  <w:t>☐</w:t>
                </w:r>
              </w:p>
            </w:tc>
          </w:sdtContent>
        </w:sdt>
        <w:tc>
          <w:tcPr>
            <w:tcW w:w="1609" w:type="dxa"/>
            <w:tcBorders>
              <w:top w:val="nil"/>
              <w:left w:val="single" w:sz="4" w:space="0" w:color="auto"/>
              <w:bottom w:val="nil"/>
              <w:right w:val="nil"/>
            </w:tcBorders>
          </w:tcPr>
          <w:p w:rsidR="00A6465C" w:rsidRPr="00840488" w:rsidRDefault="00A6465C" w:rsidP="00DE2C55">
            <w:pPr>
              <w:rPr>
                <w:rFonts w:ascii="Arial" w:hAnsi="Arial" w:cs="Arial"/>
              </w:rPr>
            </w:pPr>
            <w:r>
              <w:rPr>
                <w:rFonts w:ascii="Arial" w:hAnsi="Arial" w:cs="Arial"/>
                <w:b/>
                <w:bCs/>
              </w:rPr>
              <w:t>Moderate</w:t>
            </w:r>
            <w:r w:rsidRPr="0099348F">
              <w:rPr>
                <w:rFonts w:ascii="Arial" w:hAnsi="Arial" w:cs="Arial"/>
                <w:b/>
                <w:bCs/>
              </w:rPr>
              <w:t xml:space="preserve"> assurance </w:t>
            </w:r>
          </w:p>
        </w:tc>
        <w:sdt>
          <w:sdtPr>
            <w:rPr>
              <w:rFonts w:ascii="Arial" w:hAnsi="Arial" w:cs="Arial"/>
            </w:rPr>
            <w:id w:val="1884367071"/>
            <w14:checkbox>
              <w14:checked w14:val="0"/>
              <w14:checkedState w14:val="2612" w14:font="MS Gothic"/>
              <w14:uncheckedState w14:val="2610" w14:font="MS Gothic"/>
            </w14:checkbox>
          </w:sdtPr>
          <w:sdtEndPr/>
          <w:sdtContent>
            <w:tc>
              <w:tcPr>
                <w:tcW w:w="514" w:type="dxa"/>
                <w:tcBorders>
                  <w:left w:val="nil"/>
                  <w:bottom w:val="nil"/>
                  <w:right w:val="single" w:sz="4" w:space="0" w:color="auto"/>
                </w:tcBorders>
              </w:tcPr>
              <w:p w:rsidR="00A6465C" w:rsidRPr="0099348F" w:rsidRDefault="00A6465C" w:rsidP="00DE2C55">
                <w:pPr>
                  <w:rPr>
                    <w:rFonts w:ascii="Arial" w:hAnsi="Arial" w:cs="Arial"/>
                  </w:rPr>
                </w:pPr>
                <w:r>
                  <w:rPr>
                    <w:rFonts w:ascii="MS Gothic" w:eastAsia="MS Gothic" w:hAnsi="MS Gothic" w:cs="Arial" w:hint="eastAsia"/>
                  </w:rPr>
                  <w:t>☐</w:t>
                </w:r>
              </w:p>
            </w:tc>
          </w:sdtContent>
        </w:sdt>
        <w:tc>
          <w:tcPr>
            <w:tcW w:w="1745" w:type="dxa"/>
            <w:gridSpan w:val="3"/>
            <w:tcBorders>
              <w:left w:val="single" w:sz="4" w:space="0" w:color="auto"/>
              <w:bottom w:val="nil"/>
              <w:right w:val="nil"/>
            </w:tcBorders>
          </w:tcPr>
          <w:p w:rsidR="00A6465C" w:rsidRPr="00840488" w:rsidRDefault="00A6465C" w:rsidP="00DE2C55">
            <w:pPr>
              <w:rPr>
                <w:rFonts w:ascii="Arial" w:hAnsi="Arial" w:cs="Arial"/>
              </w:rPr>
            </w:pPr>
            <w:r>
              <w:rPr>
                <w:rFonts w:ascii="Arial" w:hAnsi="Arial" w:cs="Arial"/>
                <w:b/>
                <w:bCs/>
              </w:rPr>
              <w:t>Limited</w:t>
            </w:r>
            <w:r w:rsidRPr="0099348F">
              <w:rPr>
                <w:rFonts w:ascii="Arial" w:hAnsi="Arial" w:cs="Arial"/>
                <w:b/>
                <w:bCs/>
              </w:rPr>
              <w:t xml:space="preserve"> assurance</w:t>
            </w:r>
          </w:p>
        </w:tc>
        <w:sdt>
          <w:sdtPr>
            <w:rPr>
              <w:rFonts w:ascii="Arial" w:hAnsi="Arial" w:cs="Arial"/>
            </w:rPr>
            <w:id w:val="345363761"/>
            <w14:checkbox>
              <w14:checked w14:val="1"/>
              <w14:checkedState w14:val="2612" w14:font="MS Gothic"/>
              <w14:uncheckedState w14:val="2610" w14:font="MS Gothic"/>
            </w14:checkbox>
          </w:sdtPr>
          <w:sdtEndPr/>
          <w:sdtContent>
            <w:tc>
              <w:tcPr>
                <w:tcW w:w="436" w:type="dxa"/>
                <w:tcBorders>
                  <w:left w:val="nil"/>
                  <w:bottom w:val="nil"/>
                  <w:right w:val="single" w:sz="4" w:space="0" w:color="auto"/>
                </w:tcBorders>
              </w:tcPr>
              <w:p w:rsidR="00A6465C" w:rsidRPr="0099348F" w:rsidRDefault="00A6465C" w:rsidP="00DE2C55">
                <w:pPr>
                  <w:rPr>
                    <w:rFonts w:ascii="Arial" w:hAnsi="Arial" w:cs="Arial"/>
                  </w:rPr>
                </w:pPr>
                <w:r>
                  <w:rPr>
                    <w:rFonts w:ascii="MS Gothic" w:eastAsia="MS Gothic" w:hAnsi="MS Gothic" w:cs="Arial" w:hint="eastAsia"/>
                  </w:rPr>
                  <w:t>☒</w:t>
                </w:r>
              </w:p>
            </w:tc>
          </w:sdtContent>
        </w:sdt>
        <w:tc>
          <w:tcPr>
            <w:tcW w:w="1557" w:type="dxa"/>
            <w:gridSpan w:val="2"/>
            <w:tcBorders>
              <w:left w:val="single" w:sz="4" w:space="0" w:color="auto"/>
              <w:bottom w:val="nil"/>
              <w:right w:val="nil"/>
            </w:tcBorders>
          </w:tcPr>
          <w:p w:rsidR="00A6465C" w:rsidRPr="00840488" w:rsidRDefault="00A6465C" w:rsidP="00DE2C55">
            <w:pPr>
              <w:rPr>
                <w:rFonts w:ascii="Arial" w:hAnsi="Arial" w:cs="Arial"/>
              </w:rPr>
            </w:pPr>
            <w:r w:rsidRPr="0099348F">
              <w:rPr>
                <w:rFonts w:ascii="Arial" w:hAnsi="Arial" w:cs="Arial"/>
                <w:b/>
                <w:bCs/>
              </w:rPr>
              <w:t>No assurance</w:t>
            </w:r>
          </w:p>
        </w:tc>
        <w:sdt>
          <w:sdtPr>
            <w:rPr>
              <w:rFonts w:ascii="Arial" w:hAnsi="Arial" w:cs="Arial"/>
            </w:rPr>
            <w:id w:val="1422830370"/>
            <w14:checkbox>
              <w14:checked w14:val="0"/>
              <w14:checkedState w14:val="2612" w14:font="MS Gothic"/>
              <w14:uncheckedState w14:val="2610" w14:font="MS Gothic"/>
            </w14:checkbox>
          </w:sdtPr>
          <w:sdtEndPr/>
          <w:sdtContent>
            <w:tc>
              <w:tcPr>
                <w:tcW w:w="567" w:type="dxa"/>
                <w:gridSpan w:val="2"/>
                <w:tcBorders>
                  <w:left w:val="nil"/>
                  <w:bottom w:val="nil"/>
                  <w:right w:val="single" w:sz="4" w:space="0" w:color="auto"/>
                </w:tcBorders>
              </w:tcPr>
              <w:p w:rsidR="00A6465C" w:rsidRPr="0099348F" w:rsidRDefault="00A6465C" w:rsidP="00DE2C55">
                <w:pPr>
                  <w:rPr>
                    <w:rFonts w:ascii="Arial" w:hAnsi="Arial" w:cs="Arial"/>
                  </w:rPr>
                </w:pPr>
                <w:r>
                  <w:rPr>
                    <w:rFonts w:ascii="MS Gothic" w:eastAsia="MS Gothic" w:hAnsi="MS Gothic" w:cs="Arial" w:hint="eastAsia"/>
                  </w:rPr>
                  <w:t>☐</w:t>
                </w:r>
              </w:p>
            </w:tc>
          </w:sdtContent>
        </w:sdt>
      </w:tr>
      <w:tr w:rsidR="00A6465C" w:rsidRPr="00840488" w:rsidTr="00A6465C">
        <w:trPr>
          <w:trHeight w:val="751"/>
        </w:trPr>
        <w:tc>
          <w:tcPr>
            <w:tcW w:w="2894" w:type="dxa"/>
            <w:gridSpan w:val="2"/>
            <w:tcBorders>
              <w:top w:val="nil"/>
              <w:left w:val="single" w:sz="4" w:space="0" w:color="auto"/>
              <w:right w:val="single" w:sz="4" w:space="0" w:color="auto"/>
            </w:tcBorders>
          </w:tcPr>
          <w:p w:rsidR="00A6465C" w:rsidRPr="0099348F" w:rsidRDefault="00A6465C" w:rsidP="00DE2C55">
            <w:pPr>
              <w:rPr>
                <w:rFonts w:ascii="Arial" w:hAnsi="Arial" w:cs="Arial"/>
                <w:i/>
                <w:sz w:val="18"/>
              </w:rPr>
            </w:pPr>
            <w:r w:rsidRPr="0099348F">
              <w:rPr>
                <w:rFonts w:ascii="Arial" w:hAnsi="Arial" w:cs="Arial"/>
                <w:i/>
                <w:sz w:val="18"/>
              </w:rPr>
              <w:t>High level of confidence in delivery of existing mechanisms/objectives</w:t>
            </w:r>
          </w:p>
          <w:p w:rsidR="00A6465C" w:rsidRDefault="00A6465C" w:rsidP="00DE2C55">
            <w:pPr>
              <w:rPr>
                <w:rFonts w:ascii="Arial" w:hAnsi="Arial" w:cs="Arial"/>
              </w:rPr>
            </w:pPr>
          </w:p>
        </w:tc>
        <w:tc>
          <w:tcPr>
            <w:tcW w:w="2123" w:type="dxa"/>
            <w:gridSpan w:val="2"/>
            <w:tcBorders>
              <w:top w:val="nil"/>
              <w:left w:val="single" w:sz="4" w:space="0" w:color="auto"/>
              <w:bottom w:val="nil"/>
              <w:right w:val="single" w:sz="4" w:space="0" w:color="auto"/>
            </w:tcBorders>
          </w:tcPr>
          <w:p w:rsidR="00A6465C" w:rsidRDefault="00A6465C" w:rsidP="00DE2C55">
            <w:pPr>
              <w:rPr>
                <w:rFonts w:ascii="Arial" w:hAnsi="Arial" w:cs="Arial"/>
              </w:rPr>
            </w:pPr>
            <w:r w:rsidRPr="0099348F">
              <w:rPr>
                <w:rFonts w:ascii="Arial" w:hAnsi="Arial" w:cs="Arial"/>
                <w:i/>
                <w:sz w:val="18"/>
              </w:rPr>
              <w:t>General confidence in delivery of existing mechanisms /objectives</w:t>
            </w:r>
          </w:p>
        </w:tc>
        <w:tc>
          <w:tcPr>
            <w:tcW w:w="2181" w:type="dxa"/>
            <w:gridSpan w:val="4"/>
            <w:tcBorders>
              <w:top w:val="nil"/>
              <w:left w:val="single" w:sz="4" w:space="0" w:color="auto"/>
              <w:right w:val="single" w:sz="4" w:space="0" w:color="auto"/>
            </w:tcBorders>
          </w:tcPr>
          <w:p w:rsidR="00A6465C" w:rsidRDefault="00A6465C" w:rsidP="00DE2C55">
            <w:pPr>
              <w:rPr>
                <w:rFonts w:ascii="Arial" w:hAnsi="Arial" w:cs="Arial"/>
              </w:rPr>
            </w:pPr>
            <w:r w:rsidRPr="0099348F">
              <w:rPr>
                <w:rFonts w:ascii="Arial" w:hAnsi="Arial" w:cs="Arial"/>
                <w:i/>
                <w:sz w:val="18"/>
              </w:rPr>
              <w:t>Some confidence in delivery of existing mechanisms /objectives</w:t>
            </w:r>
          </w:p>
        </w:tc>
        <w:tc>
          <w:tcPr>
            <w:tcW w:w="2124" w:type="dxa"/>
            <w:gridSpan w:val="4"/>
            <w:tcBorders>
              <w:top w:val="nil"/>
              <w:left w:val="single" w:sz="4" w:space="0" w:color="auto"/>
              <w:right w:val="single" w:sz="4" w:space="0" w:color="auto"/>
            </w:tcBorders>
          </w:tcPr>
          <w:p w:rsidR="00A6465C" w:rsidRPr="0099348F" w:rsidRDefault="00A6465C" w:rsidP="00DE2C55">
            <w:pPr>
              <w:rPr>
                <w:rFonts w:ascii="Arial" w:hAnsi="Arial" w:cs="Arial"/>
                <w:i/>
                <w:sz w:val="18"/>
              </w:rPr>
            </w:pPr>
            <w:r w:rsidRPr="0099348F">
              <w:rPr>
                <w:rFonts w:ascii="Arial" w:hAnsi="Arial" w:cs="Arial"/>
                <w:i/>
                <w:sz w:val="18"/>
              </w:rPr>
              <w:t>No confidence in delivery</w:t>
            </w:r>
          </w:p>
          <w:p w:rsidR="00A6465C" w:rsidRDefault="00A6465C" w:rsidP="00DE2C55">
            <w:pPr>
              <w:rPr>
                <w:rFonts w:ascii="Arial" w:hAnsi="Arial" w:cs="Arial"/>
              </w:rPr>
            </w:pPr>
          </w:p>
        </w:tc>
      </w:tr>
    </w:tbl>
    <w:p w:rsidR="00A6465C" w:rsidRDefault="00A6465C">
      <w:r>
        <w:br w:type="page"/>
      </w:r>
    </w:p>
    <w:tbl>
      <w:tblPr>
        <w:tblStyle w:val="TableGrid2"/>
        <w:tblW w:w="9242" w:type="dxa"/>
        <w:tblLook w:val="04A0" w:firstRow="1" w:lastRow="0" w:firstColumn="1" w:lastColumn="0" w:noHBand="0" w:noVBand="1"/>
      </w:tblPr>
      <w:tblGrid>
        <w:gridCol w:w="2217"/>
        <w:gridCol w:w="7025"/>
      </w:tblGrid>
      <w:tr w:rsidR="00AC452A" w:rsidRPr="00840488" w:rsidTr="00A6465C">
        <w:tc>
          <w:tcPr>
            <w:tcW w:w="9242" w:type="dxa"/>
            <w:gridSpan w:val="2"/>
            <w:tcBorders>
              <w:left w:val="nil"/>
              <w:right w:val="nil"/>
            </w:tcBorders>
          </w:tcPr>
          <w:p w:rsidR="00AC452A" w:rsidRPr="00840488" w:rsidRDefault="00AC452A" w:rsidP="00DC6768">
            <w:pPr>
              <w:rPr>
                <w:rFonts w:ascii="Arial" w:hAnsi="Arial" w:cs="Arial"/>
              </w:rPr>
            </w:pPr>
          </w:p>
        </w:tc>
      </w:tr>
      <w:tr w:rsidR="00D36CFA" w:rsidRPr="00840488" w:rsidTr="00A6465C">
        <w:tc>
          <w:tcPr>
            <w:tcW w:w="2217" w:type="dxa"/>
            <w:tcBorders>
              <w:top w:val="single" w:sz="4" w:space="0" w:color="auto"/>
            </w:tcBorders>
            <w:shd w:val="clear" w:color="auto" w:fill="FBD4B4" w:themeFill="accent6" w:themeFillTint="66"/>
          </w:tcPr>
          <w:p w:rsidR="00D36CFA" w:rsidRPr="00840488" w:rsidRDefault="00D36CFA" w:rsidP="00DC6768">
            <w:pPr>
              <w:rPr>
                <w:rFonts w:ascii="Arial" w:hAnsi="Arial" w:cs="Arial"/>
              </w:rPr>
            </w:pPr>
            <w:r w:rsidRPr="00840488">
              <w:rPr>
                <w:rFonts w:ascii="Arial" w:hAnsi="Arial" w:cs="Arial"/>
              </w:rPr>
              <w:t>Recommendations</w:t>
            </w:r>
          </w:p>
        </w:tc>
        <w:tc>
          <w:tcPr>
            <w:tcW w:w="7025" w:type="dxa"/>
            <w:tcBorders>
              <w:top w:val="single" w:sz="4" w:space="0" w:color="auto"/>
            </w:tcBorders>
            <w:shd w:val="clear" w:color="auto" w:fill="FBD4B4" w:themeFill="accent6" w:themeFillTint="66"/>
          </w:tcPr>
          <w:p w:rsidR="002E4960" w:rsidRDefault="004F3D80" w:rsidP="00DA20F8">
            <w:pPr>
              <w:rPr>
                <w:rFonts w:ascii="Arial" w:hAnsi="Arial" w:cs="Arial"/>
                <w:iCs/>
                <w:color w:val="000000"/>
              </w:rPr>
            </w:pPr>
            <w:r>
              <w:rPr>
                <w:rFonts w:ascii="Arial" w:hAnsi="Arial" w:cs="Arial"/>
                <w:iCs/>
                <w:color w:val="000000"/>
              </w:rPr>
              <w:t>The</w:t>
            </w:r>
            <w:r w:rsidR="00D95381">
              <w:rPr>
                <w:rFonts w:ascii="Arial" w:hAnsi="Arial" w:cs="Arial"/>
                <w:iCs/>
                <w:color w:val="000000"/>
              </w:rPr>
              <w:t xml:space="preserve"> Board is asked to </w:t>
            </w:r>
          </w:p>
          <w:p w:rsidR="00E97B70" w:rsidRPr="002E4960" w:rsidRDefault="002E4960" w:rsidP="002E4960">
            <w:pPr>
              <w:pStyle w:val="ListParagraph"/>
              <w:numPr>
                <w:ilvl w:val="0"/>
                <w:numId w:val="22"/>
              </w:numPr>
              <w:rPr>
                <w:iCs/>
                <w:color w:val="000000"/>
              </w:rPr>
            </w:pPr>
            <w:r w:rsidRPr="002E4960">
              <w:rPr>
                <w:iCs/>
                <w:color w:val="000000"/>
              </w:rPr>
              <w:t>N</w:t>
            </w:r>
            <w:r w:rsidR="004F3D80" w:rsidRPr="002E4960">
              <w:rPr>
                <w:iCs/>
                <w:color w:val="000000"/>
              </w:rPr>
              <w:t>ote the results from the winter patient acuity and dependency (A&amp;D) study</w:t>
            </w:r>
            <w:r w:rsidR="00A32CEF">
              <w:rPr>
                <w:iCs/>
                <w:color w:val="000000"/>
              </w:rPr>
              <w:t>,</w:t>
            </w:r>
            <w:r w:rsidR="004F3D80" w:rsidRPr="002E4960">
              <w:rPr>
                <w:iCs/>
                <w:color w:val="000000"/>
              </w:rPr>
              <w:t xml:space="preserve"> and support the us</w:t>
            </w:r>
            <w:r w:rsidRPr="002E4960">
              <w:rPr>
                <w:iCs/>
                <w:color w:val="000000"/>
              </w:rPr>
              <w:t>e</w:t>
            </w:r>
            <w:r w:rsidR="004F3D80" w:rsidRPr="002E4960">
              <w:rPr>
                <w:iCs/>
                <w:color w:val="000000"/>
              </w:rPr>
              <w:t xml:space="preserve"> of the study results and C</w:t>
            </w:r>
            <w:r w:rsidRPr="002E4960">
              <w:rPr>
                <w:iCs/>
                <w:color w:val="000000"/>
              </w:rPr>
              <w:t xml:space="preserve">are hours per patient day (CHPPD) </w:t>
            </w:r>
            <w:r w:rsidR="004F3D80" w:rsidRPr="002E4960">
              <w:rPr>
                <w:iCs/>
                <w:color w:val="000000"/>
              </w:rPr>
              <w:t xml:space="preserve">in future establishment reviews.  </w:t>
            </w:r>
          </w:p>
          <w:p w:rsidR="00AF30E1" w:rsidRDefault="00D95381" w:rsidP="00FF47B2">
            <w:pPr>
              <w:pStyle w:val="ListParagraph"/>
              <w:numPr>
                <w:ilvl w:val="0"/>
                <w:numId w:val="22"/>
              </w:numPr>
              <w:rPr>
                <w:iCs/>
                <w:color w:val="000000"/>
              </w:rPr>
            </w:pPr>
            <w:r>
              <w:rPr>
                <w:iCs/>
                <w:color w:val="000000"/>
              </w:rPr>
              <w:t xml:space="preserve">Note </w:t>
            </w:r>
            <w:r w:rsidR="00AF30E1">
              <w:rPr>
                <w:iCs/>
                <w:color w:val="000000"/>
              </w:rPr>
              <w:t>the associated actions arising from the Dependency and Acuity review outlined in the paper.</w:t>
            </w:r>
          </w:p>
          <w:p w:rsidR="00FF47B2" w:rsidRPr="00AF30E1" w:rsidRDefault="00AF30E1" w:rsidP="00FF47B2">
            <w:pPr>
              <w:pStyle w:val="ListParagraph"/>
              <w:numPr>
                <w:ilvl w:val="0"/>
                <w:numId w:val="22"/>
              </w:numPr>
              <w:rPr>
                <w:iCs/>
                <w:color w:val="000000"/>
              </w:rPr>
            </w:pPr>
            <w:r w:rsidRPr="00AF30E1">
              <w:rPr>
                <w:iCs/>
                <w:color w:val="000000"/>
              </w:rPr>
              <w:t>T</w:t>
            </w:r>
            <w:r w:rsidR="001E3CCB" w:rsidRPr="00AF30E1">
              <w:rPr>
                <w:iCs/>
                <w:color w:val="000000"/>
              </w:rPr>
              <w:t xml:space="preserve">o note the </w:t>
            </w:r>
            <w:r w:rsidR="00FF47B2" w:rsidRPr="00AF30E1">
              <w:rPr>
                <w:iCs/>
                <w:color w:val="000000"/>
              </w:rPr>
              <w:t>Birth Rate plus review</w:t>
            </w:r>
            <w:r w:rsidR="001E3CCB" w:rsidRPr="00AF30E1">
              <w:rPr>
                <w:iCs/>
                <w:color w:val="000000"/>
              </w:rPr>
              <w:t xml:space="preserve"> and outcomes</w:t>
            </w:r>
          </w:p>
          <w:p w:rsidR="00FF47B2" w:rsidRDefault="00FF47B2" w:rsidP="00FF47B2">
            <w:pPr>
              <w:rPr>
                <w:rFonts w:ascii="Arial" w:hAnsi="Arial" w:cs="Arial"/>
                <w:iCs/>
                <w:color w:val="000000"/>
              </w:rPr>
            </w:pPr>
          </w:p>
          <w:p w:rsidR="00FF47B2" w:rsidRDefault="001E3CCB" w:rsidP="00FF47B2">
            <w:pPr>
              <w:rPr>
                <w:rFonts w:ascii="Arial" w:hAnsi="Arial" w:cs="Arial"/>
                <w:iCs/>
                <w:color w:val="000000"/>
              </w:rPr>
            </w:pPr>
            <w:r>
              <w:rPr>
                <w:rFonts w:ascii="Arial" w:hAnsi="Arial" w:cs="Arial"/>
                <w:iCs/>
                <w:color w:val="000000"/>
              </w:rPr>
              <w:t>The Board is</w:t>
            </w:r>
            <w:r w:rsidR="00FF47B2">
              <w:rPr>
                <w:rFonts w:ascii="Arial" w:hAnsi="Arial" w:cs="Arial"/>
                <w:iCs/>
                <w:color w:val="000000"/>
              </w:rPr>
              <w:t xml:space="preserve"> </w:t>
            </w:r>
            <w:r w:rsidR="00AF30E1">
              <w:rPr>
                <w:rFonts w:ascii="Arial" w:hAnsi="Arial" w:cs="Arial"/>
                <w:iCs/>
                <w:color w:val="000000"/>
              </w:rPr>
              <w:t xml:space="preserve">also </w:t>
            </w:r>
            <w:r w:rsidR="00FF47B2">
              <w:rPr>
                <w:rFonts w:ascii="Arial" w:hAnsi="Arial" w:cs="Arial"/>
                <w:iCs/>
                <w:color w:val="000000"/>
              </w:rPr>
              <w:t>asked to note the high level summary of outcomes and the recommendations for implementing the review</w:t>
            </w:r>
            <w:r w:rsidR="00AF30E1">
              <w:rPr>
                <w:rFonts w:ascii="Arial" w:hAnsi="Arial" w:cs="Arial"/>
                <w:iCs/>
                <w:color w:val="000000"/>
              </w:rPr>
              <w:t>s</w:t>
            </w:r>
            <w:r w:rsidR="00FF47B2">
              <w:rPr>
                <w:rFonts w:ascii="Arial" w:hAnsi="Arial" w:cs="Arial"/>
                <w:iCs/>
                <w:color w:val="000000"/>
              </w:rPr>
              <w:t xml:space="preserve"> which the People and Culture Committee will track through and monitor.</w:t>
            </w:r>
          </w:p>
          <w:p w:rsidR="00FF47B2" w:rsidRPr="00FF47B2" w:rsidRDefault="00FF47B2" w:rsidP="00FF47B2">
            <w:pPr>
              <w:rPr>
                <w:rFonts w:ascii="Arial" w:hAnsi="Arial" w:cs="Arial"/>
                <w:iCs/>
                <w:color w:val="000000"/>
              </w:rPr>
            </w:pPr>
          </w:p>
        </w:tc>
      </w:tr>
    </w:tbl>
    <w:p w:rsidR="00AC452A" w:rsidRDefault="00AC452A" w:rsidP="00362FD7">
      <w:pPr>
        <w:spacing w:after="0" w:line="240" w:lineRule="auto"/>
        <w:rPr>
          <w:rFonts w:ascii="Arial" w:hAnsi="Arial" w:cs="Arial"/>
        </w:rPr>
      </w:pPr>
    </w:p>
    <w:p w:rsidR="00AC452A" w:rsidRDefault="00AC452A">
      <w:pPr>
        <w:rPr>
          <w:rFonts w:ascii="Arial" w:hAnsi="Arial" w:cs="Arial"/>
        </w:rPr>
      </w:pPr>
      <w:r>
        <w:rPr>
          <w:rFonts w:ascii="Arial" w:hAnsi="Arial" w:cs="Arial"/>
        </w:rPr>
        <w:br w:type="page"/>
      </w:r>
    </w:p>
    <w:tbl>
      <w:tblPr>
        <w:tblStyle w:val="TableGrid"/>
        <w:tblW w:w="0" w:type="auto"/>
        <w:tblLayout w:type="fixed"/>
        <w:tblLook w:val="04A0" w:firstRow="1" w:lastRow="0" w:firstColumn="1" w:lastColumn="0" w:noHBand="0" w:noVBand="1"/>
      </w:tblPr>
      <w:tblGrid>
        <w:gridCol w:w="9180"/>
      </w:tblGrid>
      <w:tr w:rsidR="00AC452A" w:rsidTr="00A6465C">
        <w:tc>
          <w:tcPr>
            <w:tcW w:w="9180" w:type="dxa"/>
            <w:shd w:val="clear" w:color="auto" w:fill="FBD4B4" w:themeFill="accent6" w:themeFillTint="66"/>
          </w:tcPr>
          <w:p w:rsidR="00AC452A" w:rsidRDefault="00AC452A" w:rsidP="00362FD7">
            <w:pPr>
              <w:rPr>
                <w:rFonts w:ascii="Arial" w:hAnsi="Arial" w:cs="Arial"/>
              </w:rPr>
            </w:pPr>
            <w:r>
              <w:rPr>
                <w:rFonts w:ascii="Arial" w:hAnsi="Arial" w:cs="Arial"/>
              </w:rPr>
              <w:lastRenderedPageBreak/>
              <w:t>Executive Summary</w:t>
            </w:r>
          </w:p>
        </w:tc>
      </w:tr>
      <w:tr w:rsidR="00AC452A" w:rsidTr="00043BAA">
        <w:tc>
          <w:tcPr>
            <w:tcW w:w="9180" w:type="dxa"/>
          </w:tcPr>
          <w:p w:rsidR="0062209F" w:rsidRPr="00A6465C" w:rsidRDefault="003B3D30" w:rsidP="00A6465C">
            <w:pPr>
              <w:jc w:val="both"/>
              <w:rPr>
                <w:rFonts w:ascii="Arial" w:hAnsi="Arial" w:cs="Arial"/>
              </w:rPr>
            </w:pPr>
            <w:r w:rsidRPr="00A6465C">
              <w:rPr>
                <w:rFonts w:ascii="Arial" w:hAnsi="Arial" w:cs="Arial"/>
              </w:rPr>
              <w:t xml:space="preserve">The purpose of this paper </w:t>
            </w:r>
            <w:r w:rsidR="00AA387C">
              <w:rPr>
                <w:rFonts w:ascii="Arial" w:hAnsi="Arial" w:cs="Arial"/>
              </w:rPr>
              <w:t>is to provide assurance to the Trust B</w:t>
            </w:r>
            <w:r w:rsidRPr="00A6465C">
              <w:rPr>
                <w:rFonts w:ascii="Arial" w:hAnsi="Arial" w:cs="Arial"/>
              </w:rPr>
              <w:t>oard around implementation of the recommen</w:t>
            </w:r>
            <w:r w:rsidR="00A32CEF" w:rsidRPr="00A6465C">
              <w:rPr>
                <w:rFonts w:ascii="Arial" w:hAnsi="Arial" w:cs="Arial"/>
              </w:rPr>
              <w:t>dations set out in the National</w:t>
            </w:r>
            <w:r w:rsidRPr="00A6465C">
              <w:rPr>
                <w:rFonts w:ascii="Arial" w:hAnsi="Arial" w:cs="Arial"/>
              </w:rPr>
              <w:t xml:space="preserve"> Quality Board (NQB) guidance: ‘How to ensure th</w:t>
            </w:r>
            <w:r w:rsidR="00AA387C">
              <w:rPr>
                <w:rFonts w:ascii="Arial" w:hAnsi="Arial" w:cs="Arial"/>
              </w:rPr>
              <w:t>e Right People, with the Right S</w:t>
            </w:r>
            <w:r w:rsidRPr="00A6465C">
              <w:rPr>
                <w:rFonts w:ascii="Arial" w:hAnsi="Arial" w:cs="Arial"/>
              </w:rPr>
              <w:t>kill, are in place at the Right Time’ published in 2013 and updated 2016.</w:t>
            </w:r>
            <w:r w:rsidR="0062209F" w:rsidRPr="00A6465C">
              <w:rPr>
                <w:rFonts w:ascii="Arial" w:hAnsi="Arial" w:cs="Arial"/>
              </w:rPr>
              <w:t xml:space="preserve"> </w:t>
            </w:r>
          </w:p>
          <w:p w:rsidR="00A6465C" w:rsidRPr="00A6465C" w:rsidRDefault="00A6465C" w:rsidP="00A6465C">
            <w:pPr>
              <w:jc w:val="both"/>
              <w:rPr>
                <w:rFonts w:ascii="Arial" w:hAnsi="Arial" w:cs="Arial"/>
              </w:rPr>
            </w:pPr>
          </w:p>
          <w:p w:rsidR="0062209F" w:rsidRPr="00A6465C" w:rsidRDefault="00A15D19" w:rsidP="00A6465C">
            <w:pPr>
              <w:jc w:val="both"/>
              <w:rPr>
                <w:rFonts w:ascii="Arial" w:hAnsi="Arial" w:cs="Arial"/>
              </w:rPr>
            </w:pPr>
            <w:r w:rsidRPr="00A6465C">
              <w:rPr>
                <w:rFonts w:ascii="Arial" w:hAnsi="Arial" w:cs="Arial"/>
              </w:rPr>
              <w:t xml:space="preserve">Following </w:t>
            </w:r>
            <w:r w:rsidR="00AA387C">
              <w:rPr>
                <w:rFonts w:ascii="Arial" w:hAnsi="Arial" w:cs="Arial"/>
              </w:rPr>
              <w:t>the publication of the Francis R</w:t>
            </w:r>
            <w:r w:rsidRPr="00A6465C">
              <w:rPr>
                <w:rFonts w:ascii="Arial" w:hAnsi="Arial" w:cs="Arial"/>
              </w:rPr>
              <w:t>eport (2013)</w:t>
            </w:r>
            <w:r w:rsidR="00A32CEF" w:rsidRPr="00A6465C">
              <w:rPr>
                <w:rFonts w:ascii="Arial" w:hAnsi="Arial" w:cs="Arial"/>
              </w:rPr>
              <w:t>,</w:t>
            </w:r>
            <w:r w:rsidRPr="00A6465C">
              <w:rPr>
                <w:rFonts w:ascii="Arial" w:hAnsi="Arial" w:cs="Arial"/>
              </w:rPr>
              <w:t xml:space="preserve"> it is now a requirement that all NHS organisations present a six monthly establishment and staffing levels report to their </w:t>
            </w:r>
            <w:r w:rsidR="00AA387C">
              <w:rPr>
                <w:rFonts w:ascii="Arial" w:hAnsi="Arial" w:cs="Arial"/>
              </w:rPr>
              <w:t>T</w:t>
            </w:r>
            <w:r w:rsidRPr="00A6465C">
              <w:rPr>
                <w:rFonts w:ascii="Arial" w:hAnsi="Arial" w:cs="Arial"/>
              </w:rPr>
              <w:t xml:space="preserve">rust </w:t>
            </w:r>
            <w:r w:rsidR="00AA387C">
              <w:rPr>
                <w:rFonts w:ascii="Arial" w:hAnsi="Arial" w:cs="Arial"/>
              </w:rPr>
              <w:t>B</w:t>
            </w:r>
            <w:r w:rsidRPr="00A6465C">
              <w:rPr>
                <w:rFonts w:ascii="Arial" w:hAnsi="Arial" w:cs="Arial"/>
              </w:rPr>
              <w:t xml:space="preserve">oard.  </w:t>
            </w:r>
            <w:r w:rsidR="002E4960" w:rsidRPr="00A6465C">
              <w:rPr>
                <w:rFonts w:ascii="Arial" w:hAnsi="Arial" w:cs="Arial"/>
              </w:rPr>
              <w:t>T</w:t>
            </w:r>
            <w:r w:rsidRPr="00A6465C">
              <w:rPr>
                <w:rFonts w:ascii="Arial" w:hAnsi="Arial" w:cs="Arial"/>
              </w:rPr>
              <w:t>he report outlines whether staffing levels are adequate to meet the acuity and dependency of the patient population.</w:t>
            </w:r>
          </w:p>
          <w:p w:rsidR="00A6465C" w:rsidRPr="00A6465C" w:rsidRDefault="00A6465C" w:rsidP="00A6465C">
            <w:pPr>
              <w:jc w:val="both"/>
              <w:rPr>
                <w:rFonts w:ascii="Arial" w:hAnsi="Arial" w:cs="Arial"/>
              </w:rPr>
            </w:pPr>
          </w:p>
          <w:p w:rsidR="0062209F" w:rsidRPr="00A6465C" w:rsidRDefault="0062209F" w:rsidP="00A6465C">
            <w:pPr>
              <w:jc w:val="both"/>
              <w:rPr>
                <w:rFonts w:ascii="Arial" w:hAnsi="Arial" w:cs="Arial"/>
              </w:rPr>
            </w:pPr>
            <w:r w:rsidRPr="00A6465C">
              <w:rPr>
                <w:rFonts w:ascii="Arial" w:hAnsi="Arial" w:cs="Arial"/>
              </w:rPr>
              <w:t>Birth Rate+ determines the staffing required for antenatal in</w:t>
            </w:r>
            <w:r w:rsidR="00AA387C">
              <w:rPr>
                <w:rFonts w:ascii="Arial" w:hAnsi="Arial" w:cs="Arial"/>
              </w:rPr>
              <w:t>-</w:t>
            </w:r>
            <w:r w:rsidRPr="00A6465C">
              <w:rPr>
                <w:rFonts w:ascii="Arial" w:hAnsi="Arial" w:cs="Arial"/>
              </w:rPr>
              <w:t>patient and out</w:t>
            </w:r>
            <w:r w:rsidR="00AA387C">
              <w:rPr>
                <w:rFonts w:ascii="Arial" w:hAnsi="Arial" w:cs="Arial"/>
              </w:rPr>
              <w:t>-</w:t>
            </w:r>
            <w:r w:rsidRPr="00A6465C">
              <w:rPr>
                <w:rFonts w:ascii="Arial" w:hAnsi="Arial" w:cs="Arial"/>
              </w:rPr>
              <w:t>patient services, postnatal care of women and babies in hospital and community care of the local population birthing in either the local hospital or neighbouring ones.</w:t>
            </w:r>
          </w:p>
          <w:p w:rsidR="00A6465C" w:rsidRPr="00A6465C" w:rsidRDefault="00A6465C" w:rsidP="00A6465C">
            <w:pPr>
              <w:jc w:val="both"/>
              <w:rPr>
                <w:rFonts w:ascii="Arial" w:hAnsi="Arial" w:cs="Arial"/>
              </w:rPr>
            </w:pPr>
          </w:p>
          <w:p w:rsidR="0062209F" w:rsidRPr="00A6465C" w:rsidRDefault="0062209F" w:rsidP="00A6465C">
            <w:pPr>
              <w:jc w:val="both"/>
              <w:rPr>
                <w:rFonts w:ascii="Arial" w:hAnsi="Arial" w:cs="Arial"/>
              </w:rPr>
            </w:pPr>
            <w:r w:rsidRPr="00A6465C">
              <w:rPr>
                <w:rFonts w:ascii="Arial" w:hAnsi="Arial" w:cs="Arial"/>
              </w:rPr>
              <w:t>The principles underpinning the BR+ methodology are consistent with the recommendations in the NICE safe staffing guideline for midwives in maternity settings and have been endorsed by the R</w:t>
            </w:r>
            <w:r w:rsidR="00136FF8">
              <w:rPr>
                <w:rFonts w:ascii="Arial" w:hAnsi="Arial" w:cs="Arial"/>
              </w:rPr>
              <w:t xml:space="preserve">oyal </w:t>
            </w:r>
            <w:r w:rsidRPr="00A6465C">
              <w:rPr>
                <w:rFonts w:ascii="Arial" w:hAnsi="Arial" w:cs="Arial"/>
              </w:rPr>
              <w:t>C</w:t>
            </w:r>
            <w:r w:rsidR="00136FF8">
              <w:rPr>
                <w:rFonts w:ascii="Arial" w:hAnsi="Arial" w:cs="Arial"/>
              </w:rPr>
              <w:t xml:space="preserve">ollage of </w:t>
            </w:r>
            <w:r w:rsidRPr="00A6465C">
              <w:rPr>
                <w:rFonts w:ascii="Arial" w:hAnsi="Arial" w:cs="Arial"/>
              </w:rPr>
              <w:t>M</w:t>
            </w:r>
            <w:r w:rsidR="00136FF8">
              <w:rPr>
                <w:rFonts w:ascii="Arial" w:hAnsi="Arial" w:cs="Arial"/>
              </w:rPr>
              <w:t xml:space="preserve">idwives (RCM) </w:t>
            </w:r>
            <w:r w:rsidRPr="00A6465C">
              <w:rPr>
                <w:rFonts w:ascii="Arial" w:hAnsi="Arial" w:cs="Arial"/>
              </w:rPr>
              <w:t>and R</w:t>
            </w:r>
            <w:r w:rsidR="00136FF8">
              <w:rPr>
                <w:rFonts w:ascii="Arial" w:hAnsi="Arial" w:cs="Arial"/>
              </w:rPr>
              <w:t xml:space="preserve">oyal </w:t>
            </w:r>
            <w:r w:rsidRPr="00A6465C">
              <w:rPr>
                <w:rFonts w:ascii="Arial" w:hAnsi="Arial" w:cs="Arial"/>
              </w:rPr>
              <w:t>C</w:t>
            </w:r>
            <w:r w:rsidR="00136FF8">
              <w:rPr>
                <w:rFonts w:ascii="Arial" w:hAnsi="Arial" w:cs="Arial"/>
              </w:rPr>
              <w:t xml:space="preserve">ollege of </w:t>
            </w:r>
            <w:r w:rsidRPr="00A6465C">
              <w:rPr>
                <w:rFonts w:ascii="Arial" w:hAnsi="Arial" w:cs="Arial"/>
              </w:rPr>
              <w:t>O</w:t>
            </w:r>
            <w:r w:rsidR="00136FF8">
              <w:rPr>
                <w:rFonts w:ascii="Arial" w:hAnsi="Arial" w:cs="Arial"/>
              </w:rPr>
              <w:t xml:space="preserve">bstetricians and </w:t>
            </w:r>
            <w:r w:rsidRPr="00A6465C">
              <w:rPr>
                <w:rFonts w:ascii="Arial" w:hAnsi="Arial" w:cs="Arial"/>
              </w:rPr>
              <w:t>G</w:t>
            </w:r>
            <w:r w:rsidR="00136FF8">
              <w:rPr>
                <w:rFonts w:ascii="Arial" w:hAnsi="Arial" w:cs="Arial"/>
              </w:rPr>
              <w:t>ynaecologists (RCOG)</w:t>
            </w:r>
            <w:r w:rsidRPr="00A6465C">
              <w:rPr>
                <w:rFonts w:ascii="Arial" w:hAnsi="Arial" w:cs="Arial"/>
              </w:rPr>
              <w:t>.</w:t>
            </w:r>
          </w:p>
          <w:p w:rsidR="00A6465C" w:rsidRPr="00A6465C" w:rsidRDefault="00A6465C" w:rsidP="00A6465C">
            <w:pPr>
              <w:jc w:val="both"/>
              <w:rPr>
                <w:rFonts w:ascii="Arial" w:hAnsi="Arial" w:cs="Arial"/>
                <w:b/>
              </w:rPr>
            </w:pPr>
          </w:p>
          <w:p w:rsidR="00A15D19" w:rsidRPr="00A6465C" w:rsidRDefault="0062209F" w:rsidP="00A6465C">
            <w:pPr>
              <w:jc w:val="both"/>
              <w:rPr>
                <w:rFonts w:ascii="Arial" w:hAnsi="Arial" w:cs="Arial"/>
                <w:b/>
              </w:rPr>
            </w:pPr>
            <w:r w:rsidRPr="00A6465C">
              <w:rPr>
                <w:rFonts w:ascii="Arial" w:hAnsi="Arial" w:cs="Arial"/>
                <w:b/>
              </w:rPr>
              <w:t>Adult In</w:t>
            </w:r>
            <w:r w:rsidR="00AA387C">
              <w:rPr>
                <w:rFonts w:ascii="Arial" w:hAnsi="Arial" w:cs="Arial"/>
                <w:b/>
              </w:rPr>
              <w:t>-patient W</w:t>
            </w:r>
            <w:r w:rsidRPr="00A6465C">
              <w:rPr>
                <w:rFonts w:ascii="Arial" w:hAnsi="Arial" w:cs="Arial"/>
                <w:b/>
              </w:rPr>
              <w:t xml:space="preserve">ard </w:t>
            </w:r>
            <w:r w:rsidR="00AA387C">
              <w:rPr>
                <w:rFonts w:ascii="Arial" w:hAnsi="Arial" w:cs="Arial"/>
                <w:b/>
              </w:rPr>
              <w:t>R</w:t>
            </w:r>
            <w:r w:rsidRPr="00A6465C">
              <w:rPr>
                <w:rFonts w:ascii="Arial" w:hAnsi="Arial" w:cs="Arial"/>
                <w:b/>
              </w:rPr>
              <w:t>eview</w:t>
            </w:r>
            <w:r w:rsidR="00AA387C">
              <w:rPr>
                <w:rFonts w:ascii="Arial" w:hAnsi="Arial" w:cs="Arial"/>
                <w:b/>
              </w:rPr>
              <w:t>s and O</w:t>
            </w:r>
            <w:r w:rsidRPr="00A6465C">
              <w:rPr>
                <w:rFonts w:ascii="Arial" w:hAnsi="Arial" w:cs="Arial"/>
                <w:b/>
              </w:rPr>
              <w:t>utcomes (</w:t>
            </w:r>
            <w:r w:rsidR="00AA387C">
              <w:rPr>
                <w:rFonts w:ascii="Arial" w:hAnsi="Arial" w:cs="Arial"/>
                <w:b/>
              </w:rPr>
              <w:t>R</w:t>
            </w:r>
            <w:r w:rsidRPr="00A6465C">
              <w:rPr>
                <w:rFonts w:ascii="Arial" w:hAnsi="Arial" w:cs="Arial"/>
                <w:b/>
              </w:rPr>
              <w:t>ef 1.0 &amp; 2.0)</w:t>
            </w:r>
          </w:p>
          <w:p w:rsidR="00A15D19" w:rsidRPr="00A6465C" w:rsidRDefault="00A15D19" w:rsidP="00A6465C">
            <w:pPr>
              <w:jc w:val="both"/>
              <w:rPr>
                <w:rFonts w:ascii="Arial" w:hAnsi="Arial" w:cs="Arial"/>
              </w:rPr>
            </w:pPr>
            <w:r w:rsidRPr="00A6465C">
              <w:rPr>
                <w:rFonts w:ascii="Arial" w:hAnsi="Arial" w:cs="Arial"/>
              </w:rPr>
              <w:t>The Trust continues to monitor acuity and dependency (A&amp;D) thr</w:t>
            </w:r>
            <w:r w:rsidR="00AA387C">
              <w:rPr>
                <w:rFonts w:ascii="Arial" w:hAnsi="Arial" w:cs="Arial"/>
              </w:rPr>
              <w:t>ee times a day using the daily Safer Staffing A</w:t>
            </w:r>
            <w:r w:rsidRPr="00A6465C">
              <w:rPr>
                <w:rFonts w:ascii="Arial" w:hAnsi="Arial" w:cs="Arial"/>
              </w:rPr>
              <w:t>pp.  Twice a day, two bed meetings are held at bot</w:t>
            </w:r>
            <w:r w:rsidR="00D95381" w:rsidRPr="00A6465C">
              <w:rPr>
                <w:rFonts w:ascii="Arial" w:hAnsi="Arial" w:cs="Arial"/>
              </w:rPr>
              <w:t>h the Worcestershire Royal and t</w:t>
            </w:r>
            <w:r w:rsidRPr="00A6465C">
              <w:rPr>
                <w:rFonts w:ascii="Arial" w:hAnsi="Arial" w:cs="Arial"/>
              </w:rPr>
              <w:t xml:space="preserve">he Alexandra Hospitals where staffing levels are discussed and </w:t>
            </w:r>
            <w:r w:rsidR="00DA381B" w:rsidRPr="00A6465C">
              <w:rPr>
                <w:rFonts w:ascii="Arial" w:hAnsi="Arial" w:cs="Arial"/>
              </w:rPr>
              <w:t>resources</w:t>
            </w:r>
            <w:r w:rsidRPr="00A6465C">
              <w:rPr>
                <w:rFonts w:ascii="Arial" w:hAnsi="Arial" w:cs="Arial"/>
              </w:rPr>
              <w:t xml:space="preserve"> are managed based upon patients’ acuity and dependency, quality and safety indicators and issues that may </w:t>
            </w:r>
            <w:r w:rsidR="00DA381B" w:rsidRPr="00A6465C">
              <w:rPr>
                <w:rFonts w:ascii="Arial" w:hAnsi="Arial" w:cs="Arial"/>
              </w:rPr>
              <w:t>affect</w:t>
            </w:r>
            <w:r w:rsidRPr="00A6465C">
              <w:rPr>
                <w:rFonts w:ascii="Arial" w:hAnsi="Arial" w:cs="Arial"/>
              </w:rPr>
              <w:t xml:space="preserve"> patient safety and experiences.</w:t>
            </w:r>
          </w:p>
          <w:p w:rsidR="00A15D19" w:rsidRPr="00A6465C" w:rsidRDefault="00A15D19" w:rsidP="00A6465C">
            <w:pPr>
              <w:jc w:val="both"/>
              <w:rPr>
                <w:rFonts w:ascii="Arial" w:hAnsi="Arial" w:cs="Arial"/>
              </w:rPr>
            </w:pPr>
          </w:p>
          <w:p w:rsidR="00A15D19" w:rsidRPr="00A6465C" w:rsidRDefault="00A15D19" w:rsidP="00A6465C">
            <w:pPr>
              <w:jc w:val="both"/>
              <w:rPr>
                <w:rFonts w:ascii="Arial" w:hAnsi="Arial" w:cs="Arial"/>
              </w:rPr>
            </w:pPr>
            <w:r w:rsidRPr="00A6465C">
              <w:rPr>
                <w:rFonts w:ascii="Arial" w:hAnsi="Arial" w:cs="Arial"/>
              </w:rPr>
              <w:t>The data for the A</w:t>
            </w:r>
            <w:r w:rsidR="0062209F" w:rsidRPr="00A6465C">
              <w:rPr>
                <w:rFonts w:ascii="Arial" w:hAnsi="Arial" w:cs="Arial"/>
              </w:rPr>
              <w:t xml:space="preserve">cuity </w:t>
            </w:r>
            <w:r w:rsidRPr="00A6465C">
              <w:rPr>
                <w:rFonts w:ascii="Arial" w:hAnsi="Arial" w:cs="Arial"/>
              </w:rPr>
              <w:t>&amp;</w:t>
            </w:r>
            <w:r w:rsidR="0062209F" w:rsidRPr="00A6465C">
              <w:rPr>
                <w:rFonts w:ascii="Arial" w:hAnsi="Arial" w:cs="Arial"/>
              </w:rPr>
              <w:t xml:space="preserve"> </w:t>
            </w:r>
            <w:r w:rsidRPr="00A6465C">
              <w:rPr>
                <w:rFonts w:ascii="Arial" w:hAnsi="Arial" w:cs="Arial"/>
              </w:rPr>
              <w:t>D</w:t>
            </w:r>
            <w:r w:rsidR="0062209F" w:rsidRPr="00A6465C">
              <w:rPr>
                <w:rFonts w:ascii="Arial" w:hAnsi="Arial" w:cs="Arial"/>
              </w:rPr>
              <w:t>ependency</w:t>
            </w:r>
            <w:r w:rsidRPr="00A6465C">
              <w:rPr>
                <w:rFonts w:ascii="Arial" w:hAnsi="Arial" w:cs="Arial"/>
              </w:rPr>
              <w:t xml:space="preserve"> study </w:t>
            </w:r>
            <w:r w:rsidR="0062209F" w:rsidRPr="00A6465C">
              <w:rPr>
                <w:rFonts w:ascii="Arial" w:hAnsi="Arial" w:cs="Arial"/>
              </w:rPr>
              <w:t xml:space="preserve">(A&amp;D) </w:t>
            </w:r>
            <w:r w:rsidRPr="00A6465C">
              <w:rPr>
                <w:rFonts w:ascii="Arial" w:hAnsi="Arial" w:cs="Arial"/>
              </w:rPr>
              <w:t>was collated during the month of February 2018 (winter s</w:t>
            </w:r>
            <w:r w:rsidR="00AA387C">
              <w:rPr>
                <w:rFonts w:ascii="Arial" w:hAnsi="Arial" w:cs="Arial"/>
              </w:rPr>
              <w:t>tudy).  The T</w:t>
            </w:r>
            <w:r w:rsidR="002E4960" w:rsidRPr="00A6465C">
              <w:rPr>
                <w:rFonts w:ascii="Arial" w:hAnsi="Arial" w:cs="Arial"/>
              </w:rPr>
              <w:t>rust utilised the S</w:t>
            </w:r>
            <w:r w:rsidRPr="00A6465C">
              <w:rPr>
                <w:rFonts w:ascii="Arial" w:hAnsi="Arial" w:cs="Arial"/>
              </w:rPr>
              <w:t xml:space="preserve">afer Nursing </w:t>
            </w:r>
            <w:r w:rsidR="00DA381B" w:rsidRPr="00A6465C">
              <w:rPr>
                <w:rFonts w:ascii="Arial" w:hAnsi="Arial" w:cs="Arial"/>
              </w:rPr>
              <w:t>Care</w:t>
            </w:r>
            <w:r w:rsidRPr="00A6465C">
              <w:rPr>
                <w:rFonts w:ascii="Arial" w:hAnsi="Arial" w:cs="Arial"/>
              </w:rPr>
              <w:t xml:space="preserve"> Tool (SNCT) in order to establish the recommended nursing establishment per ward based on patient acuity and depende</w:t>
            </w:r>
            <w:r w:rsidR="00AA387C">
              <w:rPr>
                <w:rFonts w:ascii="Arial" w:hAnsi="Arial" w:cs="Arial"/>
              </w:rPr>
              <w:t xml:space="preserve">ncy.  The SNCT </w:t>
            </w:r>
            <w:r w:rsidR="0073715D" w:rsidRPr="00A6465C">
              <w:rPr>
                <w:rFonts w:ascii="Arial" w:hAnsi="Arial" w:cs="Arial"/>
              </w:rPr>
              <w:t>is the</w:t>
            </w:r>
            <w:r w:rsidRPr="00A6465C">
              <w:rPr>
                <w:rFonts w:ascii="Arial" w:hAnsi="Arial" w:cs="Arial"/>
              </w:rPr>
              <w:t xml:space="preserve"> toolkit </w:t>
            </w:r>
            <w:r w:rsidR="00DA381B" w:rsidRPr="00A6465C">
              <w:rPr>
                <w:rFonts w:ascii="Arial" w:hAnsi="Arial" w:cs="Arial"/>
              </w:rPr>
              <w:t>endorsed</w:t>
            </w:r>
            <w:r w:rsidRPr="00A6465C">
              <w:rPr>
                <w:rFonts w:ascii="Arial" w:hAnsi="Arial" w:cs="Arial"/>
              </w:rPr>
              <w:t xml:space="preserve"> by NICE</w:t>
            </w:r>
            <w:r w:rsidR="0073715D" w:rsidRPr="00A6465C">
              <w:rPr>
                <w:rFonts w:ascii="Arial" w:hAnsi="Arial" w:cs="Arial"/>
              </w:rPr>
              <w:t xml:space="preserve"> and expected by NHSI</w:t>
            </w:r>
            <w:r w:rsidRPr="00A6465C">
              <w:rPr>
                <w:rFonts w:ascii="Arial" w:hAnsi="Arial" w:cs="Arial"/>
              </w:rPr>
              <w:t>.</w:t>
            </w:r>
          </w:p>
          <w:p w:rsidR="00A15D19" w:rsidRPr="00A6465C" w:rsidRDefault="00A15D19" w:rsidP="00A6465C">
            <w:pPr>
              <w:jc w:val="both"/>
              <w:rPr>
                <w:rFonts w:ascii="Arial" w:hAnsi="Arial" w:cs="Arial"/>
              </w:rPr>
            </w:pPr>
          </w:p>
          <w:p w:rsidR="00AC452A" w:rsidRPr="00A6465C" w:rsidRDefault="00A15D19" w:rsidP="00A6465C">
            <w:pPr>
              <w:jc w:val="both"/>
              <w:rPr>
                <w:rFonts w:ascii="Arial" w:hAnsi="Arial" w:cs="Arial"/>
              </w:rPr>
            </w:pPr>
            <w:r w:rsidRPr="00A6465C">
              <w:rPr>
                <w:rFonts w:ascii="Arial" w:hAnsi="Arial" w:cs="Arial"/>
              </w:rPr>
              <w:t>The A</w:t>
            </w:r>
            <w:r w:rsidR="004F3D80" w:rsidRPr="00A6465C">
              <w:rPr>
                <w:rFonts w:ascii="Arial" w:hAnsi="Arial" w:cs="Arial"/>
              </w:rPr>
              <w:t>&amp;D study</w:t>
            </w:r>
            <w:r w:rsidRPr="00A6465C">
              <w:rPr>
                <w:rFonts w:ascii="Arial" w:hAnsi="Arial" w:cs="Arial"/>
              </w:rPr>
              <w:t xml:space="preserve"> </w:t>
            </w:r>
            <w:r w:rsidR="004F3D80" w:rsidRPr="00A6465C">
              <w:rPr>
                <w:rFonts w:ascii="Arial" w:hAnsi="Arial" w:cs="Arial"/>
              </w:rPr>
              <w:t>(</w:t>
            </w:r>
            <w:r w:rsidR="00DA381B" w:rsidRPr="00A6465C">
              <w:rPr>
                <w:rFonts w:ascii="Arial" w:hAnsi="Arial" w:cs="Arial"/>
              </w:rPr>
              <w:t>winter) demonstrate</w:t>
            </w:r>
            <w:r w:rsidR="00A950AA" w:rsidRPr="00A6465C">
              <w:rPr>
                <w:rFonts w:ascii="Arial" w:hAnsi="Arial" w:cs="Arial"/>
              </w:rPr>
              <w:t>s</w:t>
            </w:r>
            <w:r w:rsidR="00DA381B" w:rsidRPr="00A6465C">
              <w:rPr>
                <w:rFonts w:ascii="Arial" w:hAnsi="Arial" w:cs="Arial"/>
              </w:rPr>
              <w:t xml:space="preserve"> that</w:t>
            </w:r>
            <w:r w:rsidRPr="00A6465C">
              <w:rPr>
                <w:rFonts w:ascii="Arial" w:hAnsi="Arial" w:cs="Arial"/>
              </w:rPr>
              <w:t xml:space="preserve"> </w:t>
            </w:r>
            <w:r w:rsidR="00DA381B" w:rsidRPr="00A6465C">
              <w:rPr>
                <w:rFonts w:ascii="Arial" w:hAnsi="Arial" w:cs="Arial"/>
              </w:rPr>
              <w:t>there</w:t>
            </w:r>
            <w:r w:rsidR="0062209F" w:rsidRPr="00A6465C">
              <w:rPr>
                <w:rFonts w:ascii="Arial" w:hAnsi="Arial" w:cs="Arial"/>
              </w:rPr>
              <w:t xml:space="preserve"> are wards with budgeted w</w:t>
            </w:r>
            <w:r w:rsidR="00A32CEF" w:rsidRPr="00A6465C">
              <w:rPr>
                <w:rFonts w:ascii="Arial" w:hAnsi="Arial" w:cs="Arial"/>
              </w:rPr>
              <w:t xml:space="preserve">hole </w:t>
            </w:r>
            <w:r w:rsidR="0062209F" w:rsidRPr="00A6465C">
              <w:rPr>
                <w:rFonts w:ascii="Arial" w:hAnsi="Arial" w:cs="Arial"/>
              </w:rPr>
              <w:t>t</w:t>
            </w:r>
            <w:r w:rsidR="00A32CEF" w:rsidRPr="00A6465C">
              <w:rPr>
                <w:rFonts w:ascii="Arial" w:hAnsi="Arial" w:cs="Arial"/>
              </w:rPr>
              <w:t xml:space="preserve">ime </w:t>
            </w:r>
            <w:r w:rsidR="0062209F" w:rsidRPr="00A6465C">
              <w:rPr>
                <w:rFonts w:ascii="Arial" w:hAnsi="Arial" w:cs="Arial"/>
              </w:rPr>
              <w:t>e</w:t>
            </w:r>
            <w:r w:rsidR="00A32CEF" w:rsidRPr="00A6465C">
              <w:rPr>
                <w:rFonts w:ascii="Arial" w:hAnsi="Arial" w:cs="Arial"/>
              </w:rPr>
              <w:t>quivalents (WTE)</w:t>
            </w:r>
            <w:r w:rsidR="004F3D80" w:rsidRPr="00A6465C">
              <w:rPr>
                <w:rFonts w:ascii="Arial" w:hAnsi="Arial" w:cs="Arial"/>
              </w:rPr>
              <w:t xml:space="preserve"> below or above the recommended studies result.  The study was not able to identify </w:t>
            </w:r>
            <w:r w:rsidR="00A32CEF" w:rsidRPr="00A6465C">
              <w:rPr>
                <w:rFonts w:ascii="Arial" w:hAnsi="Arial" w:cs="Arial"/>
              </w:rPr>
              <w:t>(</w:t>
            </w:r>
            <w:r w:rsidR="004F3D80" w:rsidRPr="00A6465C">
              <w:rPr>
                <w:rFonts w:ascii="Arial" w:hAnsi="Arial" w:cs="Arial"/>
              </w:rPr>
              <w:t>at this stage</w:t>
            </w:r>
            <w:r w:rsidR="00A32CEF" w:rsidRPr="00A6465C">
              <w:rPr>
                <w:rFonts w:ascii="Arial" w:hAnsi="Arial" w:cs="Arial"/>
              </w:rPr>
              <w:t>)</w:t>
            </w:r>
            <w:r w:rsidR="004F3D80" w:rsidRPr="00A6465C">
              <w:rPr>
                <w:rFonts w:ascii="Arial" w:hAnsi="Arial" w:cs="Arial"/>
              </w:rPr>
              <w:t xml:space="preserve"> wards where there was a low or high care hours per patient day</w:t>
            </w:r>
            <w:r w:rsidR="00A950AA" w:rsidRPr="00A6465C">
              <w:rPr>
                <w:rFonts w:ascii="Arial" w:hAnsi="Arial" w:cs="Arial"/>
              </w:rPr>
              <w:t xml:space="preserve"> (CHPPD)</w:t>
            </w:r>
            <w:r w:rsidR="004F3D80" w:rsidRPr="00A6465C">
              <w:rPr>
                <w:rFonts w:ascii="Arial" w:hAnsi="Arial" w:cs="Arial"/>
              </w:rPr>
              <w:t xml:space="preserve"> in comparison to the peer and national Model Hospital benchmark due to problems with data.  Future reviews (October 2018 and January 2019) will triangulate this data</w:t>
            </w:r>
            <w:r w:rsidR="0073715D" w:rsidRPr="00A6465C">
              <w:rPr>
                <w:rFonts w:ascii="Arial" w:hAnsi="Arial" w:cs="Arial"/>
              </w:rPr>
              <w:t xml:space="preserve"> and ensure a full data set from which to make clear professional judgements and inform any changes to staffing</w:t>
            </w:r>
            <w:r w:rsidR="004F3D80" w:rsidRPr="00A6465C">
              <w:rPr>
                <w:rFonts w:ascii="Arial" w:hAnsi="Arial" w:cs="Arial"/>
              </w:rPr>
              <w:t>.</w:t>
            </w:r>
          </w:p>
          <w:p w:rsidR="008348BF" w:rsidRPr="00A6465C" w:rsidRDefault="008348BF" w:rsidP="00A6465C">
            <w:pPr>
              <w:jc w:val="both"/>
              <w:rPr>
                <w:rFonts w:ascii="Arial" w:hAnsi="Arial" w:cs="Arial"/>
              </w:rPr>
            </w:pPr>
          </w:p>
          <w:p w:rsidR="00ED5520" w:rsidRPr="00A6465C" w:rsidRDefault="002E4960" w:rsidP="00A6465C">
            <w:pPr>
              <w:tabs>
                <w:tab w:val="left" w:pos="1418"/>
              </w:tabs>
              <w:jc w:val="both"/>
              <w:rPr>
                <w:rFonts w:ascii="Arial" w:hAnsi="Arial" w:cs="Arial"/>
              </w:rPr>
            </w:pPr>
            <w:r w:rsidRPr="00A6465C">
              <w:rPr>
                <w:rFonts w:ascii="Arial" w:hAnsi="Arial" w:cs="Arial"/>
              </w:rPr>
              <w:t>Due to the fact that t</w:t>
            </w:r>
            <w:r w:rsidR="008348BF" w:rsidRPr="00A6465C">
              <w:rPr>
                <w:rFonts w:ascii="Arial" w:hAnsi="Arial" w:cs="Arial"/>
              </w:rPr>
              <w:t xml:space="preserve">he current establishments and financial positions </w:t>
            </w:r>
            <w:r w:rsidR="00ED5520" w:rsidRPr="00A6465C">
              <w:rPr>
                <w:rFonts w:ascii="Arial" w:hAnsi="Arial" w:cs="Arial"/>
              </w:rPr>
              <w:t>are n</w:t>
            </w:r>
            <w:r w:rsidR="008348BF" w:rsidRPr="00A6465C">
              <w:rPr>
                <w:rFonts w:ascii="Arial" w:hAnsi="Arial" w:cs="Arial"/>
              </w:rPr>
              <w:t>ot aligned to that of the workforce establishment in Oct</w:t>
            </w:r>
            <w:r w:rsidR="00AA387C">
              <w:rPr>
                <w:rFonts w:ascii="Arial" w:hAnsi="Arial" w:cs="Arial"/>
              </w:rPr>
              <w:t>ober</w:t>
            </w:r>
            <w:r w:rsidR="008348BF" w:rsidRPr="00A6465C">
              <w:rPr>
                <w:rFonts w:ascii="Arial" w:hAnsi="Arial" w:cs="Arial"/>
              </w:rPr>
              <w:t xml:space="preserve"> 2016</w:t>
            </w:r>
            <w:r w:rsidR="009D76E0" w:rsidRPr="00A6465C">
              <w:rPr>
                <w:rFonts w:ascii="Arial" w:hAnsi="Arial" w:cs="Arial"/>
              </w:rPr>
              <w:t>,</w:t>
            </w:r>
            <w:r w:rsidRPr="00A6465C">
              <w:rPr>
                <w:rFonts w:ascii="Arial" w:hAnsi="Arial" w:cs="Arial"/>
              </w:rPr>
              <w:t xml:space="preserve"> the study was not able to</w:t>
            </w:r>
            <w:r w:rsidR="00ED5520" w:rsidRPr="00A6465C">
              <w:rPr>
                <w:rFonts w:ascii="Arial" w:hAnsi="Arial" w:cs="Arial"/>
              </w:rPr>
              <w:t xml:space="preserve"> accurately assess </w:t>
            </w:r>
            <w:r w:rsidR="008348BF" w:rsidRPr="00A6465C">
              <w:rPr>
                <w:rFonts w:ascii="Arial" w:hAnsi="Arial" w:cs="Arial"/>
              </w:rPr>
              <w:t xml:space="preserve">the acuity and dependency staffing requirements as </w:t>
            </w:r>
            <w:r w:rsidR="00ED5520" w:rsidRPr="00A6465C">
              <w:rPr>
                <w:rFonts w:ascii="Arial" w:hAnsi="Arial" w:cs="Arial"/>
              </w:rPr>
              <w:t xml:space="preserve">per budgeted WTE against that </w:t>
            </w:r>
            <w:r w:rsidR="008348BF" w:rsidRPr="00A6465C">
              <w:rPr>
                <w:rFonts w:ascii="Arial" w:hAnsi="Arial" w:cs="Arial"/>
              </w:rPr>
              <w:t>outlined by SNCT</w:t>
            </w:r>
            <w:r w:rsidR="00ED5520" w:rsidRPr="00A6465C">
              <w:rPr>
                <w:rFonts w:ascii="Arial" w:hAnsi="Arial" w:cs="Arial"/>
              </w:rPr>
              <w:t xml:space="preserve">.  </w:t>
            </w:r>
            <w:r w:rsidR="008348BF" w:rsidRPr="00A6465C">
              <w:rPr>
                <w:rFonts w:ascii="Arial" w:hAnsi="Arial" w:cs="Arial"/>
              </w:rPr>
              <w:t xml:space="preserve"> </w:t>
            </w:r>
            <w:r w:rsidR="00ED5520" w:rsidRPr="00A6465C">
              <w:rPr>
                <w:rFonts w:ascii="Arial" w:hAnsi="Arial" w:cs="Arial"/>
              </w:rPr>
              <w:t xml:space="preserve">There were </w:t>
            </w:r>
            <w:r w:rsidR="008348BF" w:rsidRPr="00A6465C">
              <w:rPr>
                <w:rFonts w:ascii="Arial" w:hAnsi="Arial" w:cs="Arial"/>
              </w:rPr>
              <w:t xml:space="preserve">areas </w:t>
            </w:r>
            <w:r w:rsidR="00ED5520" w:rsidRPr="00A6465C">
              <w:rPr>
                <w:rFonts w:ascii="Arial" w:hAnsi="Arial" w:cs="Arial"/>
              </w:rPr>
              <w:t xml:space="preserve">where there was a suggestion that the </w:t>
            </w:r>
            <w:r w:rsidR="008348BF" w:rsidRPr="00A6465C">
              <w:rPr>
                <w:rFonts w:ascii="Arial" w:hAnsi="Arial" w:cs="Arial"/>
              </w:rPr>
              <w:t xml:space="preserve">staffing requirement may need to be amended (those areas where </w:t>
            </w:r>
            <w:r w:rsidR="00ED5520" w:rsidRPr="00A6465C">
              <w:rPr>
                <w:rFonts w:ascii="Arial" w:hAnsi="Arial" w:cs="Arial"/>
              </w:rPr>
              <w:t xml:space="preserve">there are </w:t>
            </w:r>
            <w:r w:rsidR="008348BF" w:rsidRPr="00A6465C">
              <w:rPr>
                <w:rFonts w:ascii="Arial" w:hAnsi="Arial" w:cs="Arial"/>
              </w:rPr>
              <w:t>small bed bases: surgical division)</w:t>
            </w:r>
            <w:r w:rsidR="00ED5520" w:rsidRPr="00A6465C">
              <w:rPr>
                <w:rFonts w:ascii="Arial" w:hAnsi="Arial" w:cs="Arial"/>
              </w:rPr>
              <w:t xml:space="preserve">.  </w:t>
            </w:r>
          </w:p>
          <w:p w:rsidR="00ED5520" w:rsidRPr="00A6465C" w:rsidRDefault="00ED5520" w:rsidP="00A6465C">
            <w:pPr>
              <w:tabs>
                <w:tab w:val="left" w:pos="1418"/>
              </w:tabs>
              <w:jc w:val="both"/>
              <w:rPr>
                <w:rFonts w:ascii="Arial" w:hAnsi="Arial" w:cs="Arial"/>
              </w:rPr>
            </w:pPr>
          </w:p>
          <w:p w:rsidR="00ED5520" w:rsidRPr="00A6465C" w:rsidRDefault="00ED5520" w:rsidP="00A6465C">
            <w:pPr>
              <w:tabs>
                <w:tab w:val="left" w:pos="1418"/>
              </w:tabs>
              <w:jc w:val="both"/>
              <w:rPr>
                <w:rFonts w:ascii="Arial" w:hAnsi="Arial" w:cs="Arial"/>
              </w:rPr>
            </w:pPr>
            <w:r w:rsidRPr="00A6465C">
              <w:rPr>
                <w:rFonts w:ascii="Arial" w:hAnsi="Arial" w:cs="Arial"/>
              </w:rPr>
              <w:t xml:space="preserve">Repeated workforce reviews are needed </w:t>
            </w:r>
            <w:r w:rsidR="0073715D" w:rsidRPr="00A6465C">
              <w:rPr>
                <w:rFonts w:ascii="Arial" w:hAnsi="Arial" w:cs="Arial"/>
              </w:rPr>
              <w:t>outside that of the bi annual –</w:t>
            </w:r>
            <w:r w:rsidR="00AA387C">
              <w:rPr>
                <w:rFonts w:ascii="Arial" w:hAnsi="Arial" w:cs="Arial"/>
              </w:rPr>
              <w:t xml:space="preserve"> </w:t>
            </w:r>
            <w:r w:rsidR="0073715D" w:rsidRPr="00A6465C">
              <w:rPr>
                <w:rFonts w:ascii="Arial" w:hAnsi="Arial" w:cs="Arial"/>
              </w:rPr>
              <w:t>(</w:t>
            </w:r>
            <w:r w:rsidRPr="00A6465C">
              <w:rPr>
                <w:rFonts w:ascii="Arial" w:hAnsi="Arial" w:cs="Arial"/>
              </w:rPr>
              <w:t>winter and summer</w:t>
            </w:r>
            <w:r w:rsidR="0073715D" w:rsidRPr="00A6465C">
              <w:rPr>
                <w:rFonts w:ascii="Arial" w:hAnsi="Arial" w:cs="Arial"/>
              </w:rPr>
              <w:t xml:space="preserve"> </w:t>
            </w:r>
            <w:r w:rsidR="0073715D" w:rsidRPr="00A6465C">
              <w:rPr>
                <w:rFonts w:ascii="Arial" w:hAnsi="Arial" w:cs="Arial"/>
              </w:rPr>
              <w:lastRenderedPageBreak/>
              <w:t>reviews</w:t>
            </w:r>
            <w:r w:rsidRPr="00A6465C">
              <w:rPr>
                <w:rFonts w:ascii="Arial" w:hAnsi="Arial" w:cs="Arial"/>
              </w:rPr>
              <w:t>) as there has been a number of ward moves following the October 2016 review.  Additional A&amp;D studies will t</w:t>
            </w:r>
            <w:r w:rsidR="0073715D" w:rsidRPr="00A6465C">
              <w:rPr>
                <w:rFonts w:ascii="Arial" w:hAnsi="Arial" w:cs="Arial"/>
              </w:rPr>
              <w:t>herefore t</w:t>
            </w:r>
            <w:r w:rsidRPr="00A6465C">
              <w:rPr>
                <w:rFonts w:ascii="Arial" w:hAnsi="Arial" w:cs="Arial"/>
              </w:rPr>
              <w:t>ake place in October</w:t>
            </w:r>
            <w:r w:rsidR="0073715D" w:rsidRPr="00A6465C">
              <w:rPr>
                <w:rFonts w:ascii="Arial" w:hAnsi="Arial" w:cs="Arial"/>
              </w:rPr>
              <w:t xml:space="preserve"> 2018 and January 2019 prior to</w:t>
            </w:r>
            <w:r w:rsidR="00287D00" w:rsidRPr="00A6465C">
              <w:rPr>
                <w:rFonts w:ascii="Arial" w:hAnsi="Arial" w:cs="Arial"/>
              </w:rPr>
              <w:t xml:space="preserve"> the business planning cycle so that new budgets are set and funded from </w:t>
            </w:r>
            <w:r w:rsidR="00AA387C">
              <w:rPr>
                <w:rFonts w:ascii="Arial" w:hAnsi="Arial" w:cs="Arial"/>
              </w:rPr>
              <w:t xml:space="preserve">1 </w:t>
            </w:r>
            <w:r w:rsidR="00287D00" w:rsidRPr="00A6465C">
              <w:rPr>
                <w:rFonts w:ascii="Arial" w:hAnsi="Arial" w:cs="Arial"/>
              </w:rPr>
              <w:t>April</w:t>
            </w:r>
            <w:r w:rsidR="00AA387C">
              <w:rPr>
                <w:rFonts w:ascii="Arial" w:hAnsi="Arial" w:cs="Arial"/>
              </w:rPr>
              <w:t xml:space="preserve"> </w:t>
            </w:r>
            <w:r w:rsidR="00287D00" w:rsidRPr="00A6465C">
              <w:rPr>
                <w:rFonts w:ascii="Arial" w:hAnsi="Arial" w:cs="Arial"/>
              </w:rPr>
              <w:t>2019.</w:t>
            </w:r>
            <w:r w:rsidRPr="00A6465C">
              <w:rPr>
                <w:rFonts w:ascii="Arial" w:hAnsi="Arial" w:cs="Arial"/>
              </w:rPr>
              <w:t xml:space="preserve"> </w:t>
            </w:r>
          </w:p>
          <w:p w:rsidR="00ED5520" w:rsidRPr="00A6465C" w:rsidRDefault="00ED5520" w:rsidP="00A6465C">
            <w:pPr>
              <w:tabs>
                <w:tab w:val="left" w:pos="1418"/>
              </w:tabs>
              <w:jc w:val="both"/>
              <w:rPr>
                <w:rFonts w:ascii="Arial" w:hAnsi="Arial" w:cs="Arial"/>
              </w:rPr>
            </w:pPr>
          </w:p>
          <w:p w:rsidR="00ED5520" w:rsidRPr="00A6465C" w:rsidRDefault="00ED5520" w:rsidP="00A6465C">
            <w:pPr>
              <w:tabs>
                <w:tab w:val="left" w:pos="1418"/>
              </w:tabs>
              <w:jc w:val="both"/>
              <w:rPr>
                <w:rFonts w:ascii="Arial" w:hAnsi="Arial" w:cs="Arial"/>
              </w:rPr>
            </w:pPr>
            <w:r w:rsidRPr="00A6465C">
              <w:rPr>
                <w:rFonts w:ascii="Arial" w:hAnsi="Arial" w:cs="Arial"/>
              </w:rPr>
              <w:t xml:space="preserve">There was a high volume of patients with high dependency needs recorded in </w:t>
            </w:r>
            <w:r w:rsidR="009D76E0" w:rsidRPr="00A6465C">
              <w:rPr>
                <w:rFonts w:ascii="Arial" w:hAnsi="Arial" w:cs="Arial"/>
              </w:rPr>
              <w:t xml:space="preserve">the </w:t>
            </w:r>
            <w:r w:rsidRPr="00A6465C">
              <w:rPr>
                <w:rFonts w:ascii="Arial" w:hAnsi="Arial" w:cs="Arial"/>
              </w:rPr>
              <w:t xml:space="preserve">A&amp;D study.  An external review at the </w:t>
            </w:r>
            <w:r w:rsidR="00914BEF" w:rsidRPr="00A6465C">
              <w:rPr>
                <w:rFonts w:ascii="Arial" w:hAnsi="Arial" w:cs="Arial"/>
              </w:rPr>
              <w:t xml:space="preserve">request of </w:t>
            </w:r>
            <w:r w:rsidR="009D76E0" w:rsidRPr="00A6465C">
              <w:rPr>
                <w:rFonts w:ascii="Arial" w:hAnsi="Arial" w:cs="Arial"/>
              </w:rPr>
              <w:t xml:space="preserve">the </w:t>
            </w:r>
            <w:r w:rsidR="00914BEF" w:rsidRPr="00A6465C">
              <w:rPr>
                <w:rFonts w:ascii="Arial" w:hAnsi="Arial" w:cs="Arial"/>
              </w:rPr>
              <w:t xml:space="preserve">Chief Nursing Officer </w:t>
            </w:r>
            <w:r w:rsidRPr="00A6465C">
              <w:rPr>
                <w:rFonts w:ascii="Arial" w:hAnsi="Arial" w:cs="Arial"/>
              </w:rPr>
              <w:t>by an NHS</w:t>
            </w:r>
            <w:r w:rsidR="009D76E0" w:rsidRPr="00A6465C">
              <w:rPr>
                <w:rFonts w:ascii="Arial" w:hAnsi="Arial" w:cs="Arial"/>
              </w:rPr>
              <w:t xml:space="preserve"> </w:t>
            </w:r>
            <w:r w:rsidRPr="00A6465C">
              <w:rPr>
                <w:rFonts w:ascii="Arial" w:hAnsi="Arial" w:cs="Arial"/>
              </w:rPr>
              <w:t>I</w:t>
            </w:r>
            <w:r w:rsidR="009D76E0" w:rsidRPr="00A6465C">
              <w:rPr>
                <w:rFonts w:ascii="Arial" w:hAnsi="Arial" w:cs="Arial"/>
              </w:rPr>
              <w:t>mprovement</w:t>
            </w:r>
            <w:r w:rsidRPr="00A6465C">
              <w:rPr>
                <w:rFonts w:ascii="Arial" w:hAnsi="Arial" w:cs="Arial"/>
              </w:rPr>
              <w:t xml:space="preserve"> workforce expert</w:t>
            </w:r>
            <w:r w:rsidR="009D76E0" w:rsidRPr="00A6465C">
              <w:rPr>
                <w:rFonts w:ascii="Arial" w:hAnsi="Arial" w:cs="Arial"/>
              </w:rPr>
              <w:t>,</w:t>
            </w:r>
            <w:r w:rsidRPr="00A6465C">
              <w:rPr>
                <w:rFonts w:ascii="Arial" w:hAnsi="Arial" w:cs="Arial"/>
              </w:rPr>
              <w:t xml:space="preserve"> has taken place in support of this finding.  It has been suggested </w:t>
            </w:r>
            <w:r w:rsidR="00914BEF" w:rsidRPr="00A6465C">
              <w:rPr>
                <w:rFonts w:ascii="Arial" w:hAnsi="Arial" w:cs="Arial"/>
              </w:rPr>
              <w:t>from that review</w:t>
            </w:r>
            <w:r w:rsidR="009D76E0" w:rsidRPr="00A6465C">
              <w:rPr>
                <w:rFonts w:ascii="Arial" w:hAnsi="Arial" w:cs="Arial"/>
              </w:rPr>
              <w:t>,</w:t>
            </w:r>
            <w:r w:rsidR="00914BEF" w:rsidRPr="00A6465C">
              <w:rPr>
                <w:rFonts w:ascii="Arial" w:hAnsi="Arial" w:cs="Arial"/>
              </w:rPr>
              <w:t xml:space="preserve"> by NHS</w:t>
            </w:r>
            <w:r w:rsidR="009D76E0" w:rsidRPr="00A6465C">
              <w:rPr>
                <w:rFonts w:ascii="Arial" w:hAnsi="Arial" w:cs="Arial"/>
              </w:rPr>
              <w:t xml:space="preserve"> </w:t>
            </w:r>
            <w:r w:rsidR="00914BEF" w:rsidRPr="00A6465C">
              <w:rPr>
                <w:rFonts w:ascii="Arial" w:hAnsi="Arial" w:cs="Arial"/>
              </w:rPr>
              <w:t>I</w:t>
            </w:r>
            <w:r w:rsidR="009D76E0" w:rsidRPr="00A6465C">
              <w:rPr>
                <w:rFonts w:ascii="Arial" w:hAnsi="Arial" w:cs="Arial"/>
              </w:rPr>
              <w:t>mprovement,</w:t>
            </w:r>
            <w:r w:rsidR="00914BEF" w:rsidRPr="00A6465C">
              <w:rPr>
                <w:rFonts w:ascii="Arial" w:hAnsi="Arial" w:cs="Arial"/>
              </w:rPr>
              <w:t xml:space="preserve"> </w:t>
            </w:r>
            <w:r w:rsidRPr="00A6465C">
              <w:rPr>
                <w:rFonts w:ascii="Arial" w:hAnsi="Arial" w:cs="Arial"/>
              </w:rPr>
              <w:t xml:space="preserve">that staff may have overestimated </w:t>
            </w:r>
            <w:r w:rsidR="009D76E0" w:rsidRPr="00A6465C">
              <w:rPr>
                <w:rFonts w:ascii="Arial" w:hAnsi="Arial" w:cs="Arial"/>
              </w:rPr>
              <w:t xml:space="preserve">the </w:t>
            </w:r>
            <w:r w:rsidR="00287D00" w:rsidRPr="00A6465C">
              <w:rPr>
                <w:rFonts w:ascii="Arial" w:hAnsi="Arial" w:cs="Arial"/>
              </w:rPr>
              <w:t>dependency of patients. It is recommended that onsite training and inter-rater reliability assessment</w:t>
            </w:r>
            <w:r w:rsidR="0073715D" w:rsidRPr="00A6465C">
              <w:rPr>
                <w:rFonts w:ascii="Arial" w:hAnsi="Arial" w:cs="Arial"/>
              </w:rPr>
              <w:t>s are</w:t>
            </w:r>
            <w:r w:rsidR="00287D00" w:rsidRPr="00A6465C">
              <w:rPr>
                <w:rFonts w:ascii="Arial" w:hAnsi="Arial" w:cs="Arial"/>
              </w:rPr>
              <w:t xml:space="preserve"> provided in September 2018 by NHSI.</w:t>
            </w:r>
            <w:r w:rsidRPr="00A6465C">
              <w:rPr>
                <w:rFonts w:ascii="Arial" w:hAnsi="Arial" w:cs="Arial"/>
              </w:rPr>
              <w:t xml:space="preserve"> </w:t>
            </w:r>
          </w:p>
          <w:p w:rsidR="00914BEF" w:rsidRPr="00A6465C" w:rsidRDefault="00914BEF" w:rsidP="00A6465C">
            <w:pPr>
              <w:tabs>
                <w:tab w:val="left" w:pos="1418"/>
              </w:tabs>
              <w:jc w:val="both"/>
              <w:rPr>
                <w:rFonts w:ascii="Arial" w:hAnsi="Arial" w:cs="Arial"/>
              </w:rPr>
            </w:pPr>
          </w:p>
          <w:p w:rsidR="007413E5" w:rsidRDefault="00ED5520" w:rsidP="00A6465C">
            <w:pPr>
              <w:tabs>
                <w:tab w:val="left" w:pos="1418"/>
              </w:tabs>
              <w:jc w:val="both"/>
              <w:rPr>
                <w:rFonts w:ascii="Arial" w:hAnsi="Arial" w:cs="Arial"/>
              </w:rPr>
            </w:pPr>
            <w:r w:rsidRPr="00A6465C">
              <w:rPr>
                <w:rFonts w:ascii="Arial" w:hAnsi="Arial" w:cs="Arial"/>
              </w:rPr>
              <w:t>T</w:t>
            </w:r>
            <w:r w:rsidR="008348BF" w:rsidRPr="00A6465C">
              <w:rPr>
                <w:rFonts w:ascii="Arial" w:hAnsi="Arial" w:cs="Arial"/>
              </w:rPr>
              <w:t>here is assurance that nurse: patient staffing ratios are wi</w:t>
            </w:r>
            <w:r w:rsidR="00AA387C">
              <w:rPr>
                <w:rFonts w:ascii="Arial" w:hAnsi="Arial" w:cs="Arial"/>
              </w:rPr>
              <w:t>thin the national guidance, of one</w:t>
            </w:r>
            <w:r w:rsidR="008348BF" w:rsidRPr="00A6465C">
              <w:rPr>
                <w:rFonts w:ascii="Arial" w:hAnsi="Arial" w:cs="Arial"/>
              </w:rPr>
              <w:t xml:space="preserve"> registered nurse: 8 patients for generic wards,</w:t>
            </w:r>
            <w:r w:rsidR="009D76E0" w:rsidRPr="00A6465C">
              <w:rPr>
                <w:rFonts w:ascii="Arial" w:hAnsi="Arial" w:cs="Arial"/>
              </w:rPr>
              <w:t xml:space="preserve"> and</w:t>
            </w:r>
            <w:r w:rsidR="008348BF" w:rsidRPr="00A6465C">
              <w:rPr>
                <w:rFonts w:ascii="Arial" w:hAnsi="Arial" w:cs="Arial"/>
              </w:rPr>
              <w:t xml:space="preserve"> 1:4 high dependency areas.  </w:t>
            </w:r>
            <w:r w:rsidR="00136FF8">
              <w:rPr>
                <w:rFonts w:ascii="Arial" w:hAnsi="Arial" w:cs="Arial"/>
              </w:rPr>
              <w:t xml:space="preserve">The skill </w:t>
            </w:r>
            <w:r w:rsidR="00AA387C">
              <w:rPr>
                <w:rFonts w:ascii="Arial" w:hAnsi="Arial" w:cs="Arial"/>
              </w:rPr>
              <w:t>mix % of R</w:t>
            </w:r>
            <w:r w:rsidR="00136FF8">
              <w:rPr>
                <w:rFonts w:ascii="Arial" w:hAnsi="Arial" w:cs="Arial"/>
              </w:rPr>
              <w:t xml:space="preserve">egistered </w:t>
            </w:r>
            <w:r w:rsidR="00AA387C">
              <w:rPr>
                <w:rFonts w:ascii="Arial" w:hAnsi="Arial" w:cs="Arial"/>
              </w:rPr>
              <w:t>N</w:t>
            </w:r>
            <w:r w:rsidR="007413E5">
              <w:rPr>
                <w:rFonts w:ascii="Arial" w:hAnsi="Arial" w:cs="Arial"/>
              </w:rPr>
              <w:t xml:space="preserve">urses: </w:t>
            </w:r>
            <w:r w:rsidR="00AA387C">
              <w:rPr>
                <w:rFonts w:ascii="Arial" w:hAnsi="Arial" w:cs="Arial"/>
              </w:rPr>
              <w:t>H</w:t>
            </w:r>
            <w:r w:rsidR="007413E5">
              <w:rPr>
                <w:rFonts w:ascii="Arial" w:hAnsi="Arial" w:cs="Arial"/>
              </w:rPr>
              <w:t>ealth</w:t>
            </w:r>
            <w:r w:rsidR="00136FF8">
              <w:rPr>
                <w:rFonts w:ascii="Arial" w:hAnsi="Arial" w:cs="Arial"/>
              </w:rPr>
              <w:t xml:space="preserve"> </w:t>
            </w:r>
            <w:r w:rsidR="00AA387C">
              <w:rPr>
                <w:rFonts w:ascii="Arial" w:hAnsi="Arial" w:cs="Arial"/>
              </w:rPr>
              <w:t>C</w:t>
            </w:r>
            <w:r w:rsidR="00136FF8">
              <w:rPr>
                <w:rFonts w:ascii="Arial" w:hAnsi="Arial" w:cs="Arial"/>
              </w:rPr>
              <w:t xml:space="preserve">are </w:t>
            </w:r>
            <w:r w:rsidR="00AA387C">
              <w:rPr>
                <w:rFonts w:ascii="Arial" w:hAnsi="Arial" w:cs="Arial"/>
              </w:rPr>
              <w:t>Assistants</w:t>
            </w:r>
            <w:r w:rsidR="00136FF8">
              <w:rPr>
                <w:rFonts w:ascii="Arial" w:hAnsi="Arial" w:cs="Arial"/>
              </w:rPr>
              <w:t xml:space="preserve"> (HCA) for generic wards identifies a range from 48:52 (Evergreen 1) to 73:27 (Beech B) generic wards. </w:t>
            </w:r>
            <w:r w:rsidR="007413E5">
              <w:rPr>
                <w:rFonts w:ascii="Arial" w:hAnsi="Arial" w:cs="Arial"/>
              </w:rPr>
              <w:t>Given the number of ward mov</w:t>
            </w:r>
            <w:r w:rsidR="00AA387C">
              <w:rPr>
                <w:rFonts w:ascii="Arial" w:hAnsi="Arial" w:cs="Arial"/>
              </w:rPr>
              <w:t>es and reconfigurations within S</w:t>
            </w:r>
            <w:r w:rsidR="007413E5">
              <w:rPr>
                <w:rFonts w:ascii="Arial" w:hAnsi="Arial" w:cs="Arial"/>
              </w:rPr>
              <w:t xml:space="preserve">urgery and </w:t>
            </w:r>
            <w:r w:rsidR="00AA387C">
              <w:rPr>
                <w:rFonts w:ascii="Arial" w:hAnsi="Arial" w:cs="Arial"/>
              </w:rPr>
              <w:t>M</w:t>
            </w:r>
            <w:r w:rsidR="007413E5">
              <w:rPr>
                <w:rFonts w:ascii="Arial" w:hAnsi="Arial" w:cs="Arial"/>
              </w:rPr>
              <w:t>edicine a</w:t>
            </w:r>
            <w:r w:rsidR="007413E5" w:rsidRPr="00A6465C">
              <w:rPr>
                <w:rFonts w:ascii="Arial" w:hAnsi="Arial" w:cs="Arial"/>
              </w:rPr>
              <w:t xml:space="preserve">lignment of the budgets is needed and a review of those small bed based wards </w:t>
            </w:r>
            <w:r w:rsidR="007413E5">
              <w:rPr>
                <w:rFonts w:ascii="Arial" w:hAnsi="Arial" w:cs="Arial"/>
              </w:rPr>
              <w:t xml:space="preserve">will be </w:t>
            </w:r>
            <w:r w:rsidR="007413E5" w:rsidRPr="00A6465C">
              <w:rPr>
                <w:rFonts w:ascii="Arial" w:hAnsi="Arial" w:cs="Arial"/>
              </w:rPr>
              <w:t>required</w:t>
            </w:r>
            <w:r w:rsidR="007413E5">
              <w:rPr>
                <w:rFonts w:ascii="Arial" w:hAnsi="Arial" w:cs="Arial"/>
              </w:rPr>
              <w:t>.</w:t>
            </w:r>
          </w:p>
          <w:p w:rsidR="007413E5" w:rsidRDefault="007413E5" w:rsidP="00A6465C">
            <w:pPr>
              <w:tabs>
                <w:tab w:val="left" w:pos="1418"/>
              </w:tabs>
              <w:jc w:val="both"/>
              <w:rPr>
                <w:rFonts w:ascii="Arial" w:hAnsi="Arial" w:cs="Arial"/>
              </w:rPr>
            </w:pPr>
          </w:p>
          <w:p w:rsidR="007413E5" w:rsidRDefault="00136FF8" w:rsidP="00A6465C">
            <w:pPr>
              <w:tabs>
                <w:tab w:val="left" w:pos="1418"/>
              </w:tabs>
              <w:jc w:val="both"/>
              <w:rPr>
                <w:rFonts w:ascii="Arial" w:hAnsi="Arial" w:cs="Arial"/>
              </w:rPr>
            </w:pPr>
            <w:r>
              <w:rPr>
                <w:rFonts w:ascii="Arial" w:hAnsi="Arial" w:cs="Arial"/>
              </w:rPr>
              <w:t xml:space="preserve">High Care areas do have higher registered to HCA ratio given the dependency </w:t>
            </w:r>
            <w:r w:rsidR="007413E5">
              <w:rPr>
                <w:rFonts w:ascii="Arial" w:hAnsi="Arial" w:cs="Arial"/>
              </w:rPr>
              <w:t>of the patients.  T</w:t>
            </w:r>
            <w:r>
              <w:rPr>
                <w:rFonts w:ascii="Arial" w:hAnsi="Arial" w:cs="Arial"/>
              </w:rPr>
              <w:t xml:space="preserve">hese wards are within the ranges of Laurel 1 </w:t>
            </w:r>
            <w:r w:rsidR="007413E5">
              <w:rPr>
                <w:rFonts w:ascii="Arial" w:hAnsi="Arial" w:cs="Arial"/>
              </w:rPr>
              <w:t xml:space="preserve">82: 8 </w:t>
            </w:r>
            <w:r>
              <w:rPr>
                <w:rFonts w:ascii="Arial" w:hAnsi="Arial" w:cs="Arial"/>
              </w:rPr>
              <w:t xml:space="preserve">and </w:t>
            </w:r>
            <w:r w:rsidR="00A537E2">
              <w:rPr>
                <w:rFonts w:ascii="Arial" w:hAnsi="Arial" w:cs="Arial"/>
              </w:rPr>
              <w:t>L</w:t>
            </w:r>
            <w:r w:rsidR="007413E5">
              <w:rPr>
                <w:rFonts w:ascii="Arial" w:hAnsi="Arial" w:cs="Arial"/>
              </w:rPr>
              <w:t xml:space="preserve">aurel 3 </w:t>
            </w:r>
            <w:r w:rsidR="00A537E2">
              <w:rPr>
                <w:rFonts w:ascii="Arial" w:hAnsi="Arial" w:cs="Arial"/>
              </w:rPr>
              <w:t>(H</w:t>
            </w:r>
            <w:r w:rsidR="007413E5">
              <w:rPr>
                <w:rFonts w:ascii="Arial" w:hAnsi="Arial" w:cs="Arial"/>
              </w:rPr>
              <w:t>aematology) 74:26 to 100% for Acute Stroke and Vascular High Care.  A review is required to ensure speciality nursing skills required in these areas is meeting the staffing guidance.</w:t>
            </w:r>
          </w:p>
          <w:p w:rsidR="00136FF8" w:rsidRDefault="00136FF8" w:rsidP="00A6465C">
            <w:pPr>
              <w:jc w:val="both"/>
              <w:rPr>
                <w:rFonts w:ascii="Arial" w:hAnsi="Arial" w:cs="Arial"/>
              </w:rPr>
            </w:pPr>
          </w:p>
          <w:p w:rsidR="00547DC3" w:rsidRPr="00A6465C" w:rsidRDefault="00A950AA" w:rsidP="00A6465C">
            <w:pPr>
              <w:jc w:val="both"/>
              <w:rPr>
                <w:rFonts w:ascii="Arial" w:hAnsi="Arial" w:cs="Arial"/>
              </w:rPr>
            </w:pPr>
            <w:r w:rsidRPr="00A6465C">
              <w:rPr>
                <w:rFonts w:ascii="Arial" w:hAnsi="Arial" w:cs="Arial"/>
              </w:rPr>
              <w:t>Specialist areas were not included in the study as the SNCT is not valid</w:t>
            </w:r>
            <w:r w:rsidR="0073715D" w:rsidRPr="00A6465C">
              <w:rPr>
                <w:rFonts w:ascii="Arial" w:hAnsi="Arial" w:cs="Arial"/>
              </w:rPr>
              <w:t>ated for us</w:t>
            </w:r>
            <w:r w:rsidR="00A537E2">
              <w:rPr>
                <w:rFonts w:ascii="Arial" w:hAnsi="Arial" w:cs="Arial"/>
              </w:rPr>
              <w:t>e on C</w:t>
            </w:r>
            <w:r w:rsidR="009D76E0" w:rsidRPr="00A6465C">
              <w:rPr>
                <w:rFonts w:ascii="Arial" w:hAnsi="Arial" w:cs="Arial"/>
              </w:rPr>
              <w:t xml:space="preserve">ritical </w:t>
            </w:r>
            <w:r w:rsidR="00A537E2">
              <w:rPr>
                <w:rFonts w:ascii="Arial" w:hAnsi="Arial" w:cs="Arial"/>
              </w:rPr>
              <w:t>C</w:t>
            </w:r>
            <w:r w:rsidR="009D76E0" w:rsidRPr="00A6465C">
              <w:rPr>
                <w:rFonts w:ascii="Arial" w:hAnsi="Arial" w:cs="Arial"/>
              </w:rPr>
              <w:t>are</w:t>
            </w:r>
            <w:r w:rsidR="007413E5">
              <w:rPr>
                <w:rFonts w:ascii="Arial" w:hAnsi="Arial" w:cs="Arial"/>
              </w:rPr>
              <w:t>, theatre, recovery, paediatric or maternity</w:t>
            </w:r>
            <w:r w:rsidRPr="00A6465C">
              <w:rPr>
                <w:rFonts w:ascii="Arial" w:hAnsi="Arial" w:cs="Arial"/>
              </w:rPr>
              <w:t>.  Future reviews of these specialist areas will include CHPPD</w:t>
            </w:r>
            <w:r w:rsidR="009D76E0" w:rsidRPr="00A6465C">
              <w:rPr>
                <w:rFonts w:ascii="Arial" w:hAnsi="Arial" w:cs="Arial"/>
              </w:rPr>
              <w:t>,</w:t>
            </w:r>
            <w:r w:rsidRPr="00A6465C">
              <w:rPr>
                <w:rFonts w:ascii="Arial" w:hAnsi="Arial" w:cs="Arial"/>
              </w:rPr>
              <w:t xml:space="preserve"> available on the Model Hospital dashboard (Carter review).</w:t>
            </w:r>
          </w:p>
          <w:p w:rsidR="001E3CCB" w:rsidRPr="00A6465C" w:rsidRDefault="001E3CCB" w:rsidP="00A6465C">
            <w:pPr>
              <w:jc w:val="both"/>
              <w:rPr>
                <w:rFonts w:ascii="Arial" w:hAnsi="Arial" w:cs="Arial"/>
              </w:rPr>
            </w:pPr>
          </w:p>
          <w:p w:rsidR="001E3CCB" w:rsidRPr="00A6465C" w:rsidRDefault="001E3CCB" w:rsidP="00A6465C">
            <w:pPr>
              <w:jc w:val="both"/>
              <w:rPr>
                <w:rFonts w:ascii="Arial" w:hAnsi="Arial" w:cs="Arial"/>
                <w:b/>
              </w:rPr>
            </w:pPr>
            <w:proofErr w:type="spellStart"/>
            <w:r w:rsidRPr="00A6465C">
              <w:rPr>
                <w:rFonts w:ascii="Arial" w:hAnsi="Arial" w:cs="Arial"/>
                <w:b/>
              </w:rPr>
              <w:t>Birthrate</w:t>
            </w:r>
            <w:proofErr w:type="spellEnd"/>
            <w:r w:rsidRPr="00A6465C">
              <w:rPr>
                <w:rFonts w:ascii="Arial" w:hAnsi="Arial" w:cs="Arial"/>
                <w:b/>
              </w:rPr>
              <w:t xml:space="preserve"> Plus </w:t>
            </w:r>
            <w:r w:rsidR="00A6465C">
              <w:rPr>
                <w:rFonts w:ascii="Arial" w:hAnsi="Arial" w:cs="Arial"/>
                <w:b/>
              </w:rPr>
              <w:t>(</w:t>
            </w:r>
            <w:r w:rsidR="00A6465C" w:rsidRPr="00A6465C">
              <w:rPr>
                <w:rFonts w:ascii="Arial" w:hAnsi="Arial" w:cs="Arial"/>
              </w:rPr>
              <w:t>BR+</w:t>
            </w:r>
            <w:r w:rsidR="00A6465C">
              <w:rPr>
                <w:rFonts w:ascii="Arial" w:hAnsi="Arial" w:cs="Arial"/>
              </w:rPr>
              <w:t>)</w:t>
            </w:r>
            <w:r w:rsidR="00A6465C" w:rsidRPr="00A6465C">
              <w:rPr>
                <w:rFonts w:ascii="Arial" w:hAnsi="Arial" w:cs="Arial"/>
              </w:rPr>
              <w:t xml:space="preserve"> </w:t>
            </w:r>
            <w:r w:rsidRPr="00A6465C">
              <w:rPr>
                <w:rFonts w:ascii="Arial" w:hAnsi="Arial" w:cs="Arial"/>
                <w:b/>
              </w:rPr>
              <w:t>workforce review and outcomes (ref 3.0 &amp; 4.0)</w:t>
            </w:r>
          </w:p>
          <w:p w:rsidR="001E3CCB" w:rsidRPr="00A6465C" w:rsidRDefault="001E3CCB" w:rsidP="00A6465C">
            <w:pPr>
              <w:jc w:val="both"/>
              <w:rPr>
                <w:rFonts w:ascii="Arial" w:hAnsi="Arial" w:cs="Arial"/>
              </w:rPr>
            </w:pPr>
            <w:r w:rsidRPr="00A6465C">
              <w:rPr>
                <w:rFonts w:ascii="Arial" w:hAnsi="Arial" w:cs="Arial"/>
              </w:rPr>
              <w:t xml:space="preserve">The </w:t>
            </w:r>
            <w:r w:rsidR="00A6465C">
              <w:rPr>
                <w:rFonts w:ascii="Arial" w:hAnsi="Arial" w:cs="Arial"/>
              </w:rPr>
              <w:t>Royal College of Midwives</w:t>
            </w:r>
            <w:r w:rsidRPr="00A6465C">
              <w:rPr>
                <w:rFonts w:ascii="Arial" w:hAnsi="Arial" w:cs="Arial"/>
              </w:rPr>
              <w:t xml:space="preserve"> strongly recommends BR+ to undertake a systematic assessment of workforce requirements, since BR+ is the only recognised national tool for calculating midwifery staffing levels.</w:t>
            </w:r>
          </w:p>
          <w:p w:rsidR="00A6465C" w:rsidRPr="00A6465C" w:rsidRDefault="00A6465C" w:rsidP="00A6465C">
            <w:pPr>
              <w:jc w:val="both"/>
              <w:rPr>
                <w:rFonts w:ascii="Arial" w:hAnsi="Arial" w:cs="Arial"/>
              </w:rPr>
            </w:pPr>
          </w:p>
          <w:p w:rsidR="001E3CCB" w:rsidRPr="00A6465C" w:rsidRDefault="001E3CCB" w:rsidP="00A6465C">
            <w:pPr>
              <w:jc w:val="both"/>
              <w:rPr>
                <w:rFonts w:ascii="Arial" w:hAnsi="Arial" w:cs="Arial"/>
              </w:rPr>
            </w:pPr>
            <w:r w:rsidRPr="00A6465C">
              <w:rPr>
                <w:rFonts w:ascii="Arial" w:hAnsi="Arial" w:cs="Arial"/>
              </w:rPr>
              <w:t>Key findings are as follows:</w:t>
            </w:r>
          </w:p>
          <w:p w:rsidR="001E3CCB" w:rsidRPr="00A6465C" w:rsidRDefault="001E3CCB" w:rsidP="00A6465C">
            <w:pPr>
              <w:pStyle w:val="ListParagraph"/>
              <w:numPr>
                <w:ilvl w:val="0"/>
                <w:numId w:val="24"/>
              </w:numPr>
              <w:spacing w:before="0"/>
            </w:pPr>
            <w:r w:rsidRPr="00A6465C">
              <w:t xml:space="preserve">Current establishment is 2 WTE above BR+ recommendations, with </w:t>
            </w:r>
            <w:proofErr w:type="spellStart"/>
            <w:r w:rsidRPr="00A6465C">
              <w:t>Birthrate</w:t>
            </w:r>
            <w:proofErr w:type="spellEnd"/>
            <w:r w:rsidRPr="00A6465C">
              <w:t xml:space="preserve"> plus recommending </w:t>
            </w:r>
            <w:r w:rsidR="00A537E2">
              <w:rPr>
                <w:color w:val="000000"/>
              </w:rPr>
              <w:t>217.01 WTE and 219.25 WTE</w:t>
            </w:r>
            <w:r w:rsidRPr="00A6465C">
              <w:rPr>
                <w:color w:val="000000"/>
              </w:rPr>
              <w:t xml:space="preserve"> being in post</w:t>
            </w:r>
          </w:p>
          <w:p w:rsidR="001E3CCB" w:rsidRPr="00A6465C" w:rsidRDefault="001E3CCB" w:rsidP="00A6465C">
            <w:pPr>
              <w:pStyle w:val="ListParagraph"/>
              <w:numPr>
                <w:ilvl w:val="0"/>
                <w:numId w:val="24"/>
              </w:numPr>
              <w:spacing w:before="0"/>
            </w:pPr>
            <w:r w:rsidRPr="00A6465C">
              <w:t>There is a requirement to shift the clinical skill</w:t>
            </w:r>
            <w:r w:rsidR="00A537E2">
              <w:t xml:space="preserve"> mix to increase the number of B</w:t>
            </w:r>
            <w:r w:rsidRPr="00A6465C">
              <w:t>and 3 or 4 support staff to</w:t>
            </w:r>
            <w:r w:rsidR="00A537E2">
              <w:t xml:space="preserve"> 19.91WTE (an increase of 17.92 </w:t>
            </w:r>
            <w:r w:rsidRPr="00A6465C">
              <w:t>WT</w:t>
            </w:r>
            <w:r w:rsidR="00A537E2">
              <w:t>E as there are currently 2 WTE B</w:t>
            </w:r>
            <w:r w:rsidRPr="00A6465C">
              <w:t xml:space="preserve">and 3 in post), with the corresponding reduction in Registered Midwives. </w:t>
            </w:r>
          </w:p>
          <w:p w:rsidR="001E3CCB" w:rsidRPr="00A6465C" w:rsidRDefault="001E3CCB" w:rsidP="00A6465C">
            <w:pPr>
              <w:pStyle w:val="ListParagraph"/>
              <w:numPr>
                <w:ilvl w:val="0"/>
                <w:numId w:val="24"/>
              </w:numPr>
              <w:spacing w:before="0"/>
            </w:pPr>
            <w:r w:rsidRPr="00A6465C">
              <w:t xml:space="preserve">There is a requirement to increase midwifery in the community and antenatal clinic settings. </w:t>
            </w:r>
          </w:p>
          <w:p w:rsidR="00BD5A44" w:rsidRPr="00A6465C" w:rsidRDefault="00BD5A44" w:rsidP="00A6465C">
            <w:pPr>
              <w:jc w:val="both"/>
              <w:rPr>
                <w:rFonts w:ascii="Arial" w:hAnsi="Arial" w:cs="Arial"/>
              </w:rPr>
            </w:pPr>
          </w:p>
          <w:p w:rsidR="00BD5A44" w:rsidRPr="00A6465C" w:rsidRDefault="001E3CCB" w:rsidP="00A6465C">
            <w:pPr>
              <w:jc w:val="both"/>
              <w:rPr>
                <w:rFonts w:ascii="Arial" w:eastAsia="Times New Roman" w:hAnsi="Arial" w:cs="Arial"/>
                <w:lang w:eastAsia="en-GB"/>
              </w:rPr>
            </w:pPr>
            <w:r w:rsidRPr="00A6465C">
              <w:rPr>
                <w:rFonts w:ascii="Arial" w:hAnsi="Arial" w:cs="Arial"/>
              </w:rPr>
              <w:t xml:space="preserve">These findings will be reviewed and considered by the Division and </w:t>
            </w:r>
            <w:r w:rsidR="00BD5A44" w:rsidRPr="00A6465C">
              <w:rPr>
                <w:rFonts w:ascii="Arial" w:hAnsi="Arial" w:cs="Arial"/>
              </w:rPr>
              <w:t>th</w:t>
            </w:r>
            <w:r w:rsidR="007413E5">
              <w:rPr>
                <w:rFonts w:ascii="Arial" w:hAnsi="Arial" w:cs="Arial"/>
              </w:rPr>
              <w:t>e Local Midwifery System (LMS)</w:t>
            </w:r>
            <w:r w:rsidR="00BD5A44" w:rsidRPr="00A6465C">
              <w:rPr>
                <w:rFonts w:ascii="Arial" w:hAnsi="Arial" w:cs="Arial"/>
              </w:rPr>
              <w:t xml:space="preserve"> as well as being </w:t>
            </w:r>
            <w:r w:rsidRPr="00A6465C">
              <w:rPr>
                <w:rFonts w:ascii="Arial" w:hAnsi="Arial" w:cs="Arial"/>
              </w:rPr>
              <w:t>reported thr</w:t>
            </w:r>
            <w:r w:rsidR="00A537E2">
              <w:rPr>
                <w:rFonts w:ascii="Arial" w:hAnsi="Arial" w:cs="Arial"/>
              </w:rPr>
              <w:t>ough to the People and Culture C</w:t>
            </w:r>
            <w:r w:rsidRPr="00A6465C">
              <w:rPr>
                <w:rFonts w:ascii="Arial" w:hAnsi="Arial" w:cs="Arial"/>
              </w:rPr>
              <w:t>ommittee</w:t>
            </w:r>
            <w:r w:rsidR="00BD5A44" w:rsidRPr="00A6465C">
              <w:rPr>
                <w:rFonts w:ascii="Arial" w:hAnsi="Arial" w:cs="Arial"/>
              </w:rPr>
              <w:t>.</w:t>
            </w:r>
          </w:p>
          <w:p w:rsidR="00BD5A44" w:rsidRPr="00A6465C" w:rsidRDefault="00BD5A44" w:rsidP="00A6465C">
            <w:pPr>
              <w:jc w:val="both"/>
              <w:rPr>
                <w:rFonts w:ascii="Arial" w:hAnsi="Arial" w:cs="Arial"/>
              </w:rPr>
            </w:pPr>
          </w:p>
        </w:tc>
      </w:tr>
    </w:tbl>
    <w:p w:rsidR="00A537E2" w:rsidRDefault="00A537E2">
      <w:r>
        <w:lastRenderedPageBreak/>
        <w:br w:type="page"/>
      </w:r>
    </w:p>
    <w:tbl>
      <w:tblPr>
        <w:tblStyle w:val="TableGrid"/>
        <w:tblW w:w="0" w:type="auto"/>
        <w:tblLayout w:type="fixed"/>
        <w:tblLook w:val="04A0" w:firstRow="1" w:lastRow="0" w:firstColumn="1" w:lastColumn="0" w:noHBand="0" w:noVBand="1"/>
      </w:tblPr>
      <w:tblGrid>
        <w:gridCol w:w="9180"/>
      </w:tblGrid>
      <w:tr w:rsidR="002E4321" w:rsidTr="00A6465C">
        <w:tc>
          <w:tcPr>
            <w:tcW w:w="9180" w:type="dxa"/>
            <w:shd w:val="clear" w:color="auto" w:fill="FBD4B4" w:themeFill="accent6" w:themeFillTint="66"/>
          </w:tcPr>
          <w:p w:rsidR="002E4321" w:rsidRDefault="002E4321" w:rsidP="00362FD7">
            <w:pPr>
              <w:rPr>
                <w:rFonts w:ascii="Arial" w:hAnsi="Arial" w:cs="Arial"/>
              </w:rPr>
            </w:pPr>
            <w:r>
              <w:rPr>
                <w:rFonts w:ascii="Arial" w:hAnsi="Arial" w:cs="Arial"/>
              </w:rPr>
              <w:lastRenderedPageBreak/>
              <w:t>Background</w:t>
            </w:r>
          </w:p>
        </w:tc>
      </w:tr>
      <w:tr w:rsidR="002E4321" w:rsidTr="00043BAA">
        <w:tc>
          <w:tcPr>
            <w:tcW w:w="9180" w:type="dxa"/>
          </w:tcPr>
          <w:p w:rsidR="00A6465C" w:rsidRDefault="00A537E2" w:rsidP="00A537E2">
            <w:pPr>
              <w:ind w:left="425" w:hanging="425"/>
              <w:jc w:val="both"/>
              <w:rPr>
                <w:rFonts w:ascii="Arial" w:hAnsi="Arial" w:cs="Arial"/>
              </w:rPr>
            </w:pPr>
            <w:r>
              <w:rPr>
                <w:rFonts w:ascii="Arial" w:hAnsi="Arial" w:cs="Arial"/>
              </w:rPr>
              <w:t>1.0 Adult S</w:t>
            </w:r>
            <w:r w:rsidR="00A6465C">
              <w:rPr>
                <w:rFonts w:ascii="Arial" w:hAnsi="Arial" w:cs="Arial"/>
              </w:rPr>
              <w:t xml:space="preserve">taffing </w:t>
            </w:r>
            <w:r>
              <w:rPr>
                <w:rFonts w:ascii="Arial" w:hAnsi="Arial" w:cs="Arial"/>
              </w:rPr>
              <w:t>R</w:t>
            </w:r>
            <w:r w:rsidR="00A6465C">
              <w:rPr>
                <w:rFonts w:ascii="Arial" w:hAnsi="Arial" w:cs="Arial"/>
              </w:rPr>
              <w:t>eviews</w:t>
            </w:r>
          </w:p>
          <w:p w:rsidR="00A6465C" w:rsidRDefault="00A6465C" w:rsidP="00A6465C">
            <w:pPr>
              <w:jc w:val="both"/>
              <w:rPr>
                <w:rFonts w:ascii="Arial" w:hAnsi="Arial" w:cs="Arial"/>
              </w:rPr>
            </w:pPr>
          </w:p>
          <w:p w:rsidR="00C81E23" w:rsidRDefault="00A6465C" w:rsidP="00A6465C">
            <w:pPr>
              <w:jc w:val="both"/>
              <w:rPr>
                <w:rFonts w:ascii="Arial" w:hAnsi="Arial" w:cs="Arial"/>
              </w:rPr>
            </w:pPr>
            <w:r w:rsidRPr="00C81E23">
              <w:rPr>
                <w:rFonts w:ascii="Arial" w:hAnsi="Arial" w:cs="Arial"/>
              </w:rPr>
              <w:t>The updated NQB, published 2016, provides an updated set of expectations for nursing and midwifery care staffing, to help NHS provider boards make local decisions that will support the delivery of high quality care for patients within the available staffing resource.</w:t>
            </w:r>
          </w:p>
          <w:p w:rsidR="00A6465C" w:rsidRDefault="00A6465C" w:rsidP="00A6465C">
            <w:pPr>
              <w:rPr>
                <w:rFonts w:ascii="Arial" w:hAnsi="Arial" w:cs="Arial"/>
              </w:rPr>
            </w:pPr>
          </w:p>
          <w:p w:rsidR="00A6465C" w:rsidRDefault="00A6465C" w:rsidP="00A6465C">
            <w:r>
              <w:rPr>
                <w:noProof/>
                <w:lang w:eastAsia="en-GB"/>
              </w:rPr>
              <w:drawing>
                <wp:inline distT="0" distB="0" distL="0" distR="0" wp14:anchorId="10039D71" wp14:editId="75BBA06F">
                  <wp:extent cx="4724400" cy="2981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24400" cy="2981325"/>
                          </a:xfrm>
                          <a:prstGeom prst="rect">
                            <a:avLst/>
                          </a:prstGeom>
                        </pic:spPr>
                      </pic:pic>
                    </a:graphicData>
                  </a:graphic>
                </wp:inline>
              </w:drawing>
            </w:r>
          </w:p>
          <w:p w:rsidR="00A6465C" w:rsidRDefault="00A6465C" w:rsidP="00A6465C"/>
          <w:p w:rsidR="00A6465C" w:rsidRPr="00BD5A44" w:rsidRDefault="00A537E2" w:rsidP="00A6465C">
            <w:pPr>
              <w:pStyle w:val="ListParagraph"/>
              <w:numPr>
                <w:ilvl w:val="0"/>
                <w:numId w:val="26"/>
              </w:numPr>
              <w:ind w:left="360"/>
            </w:pPr>
            <w:r>
              <w:t>The Board is advised that the T</w:t>
            </w:r>
            <w:r w:rsidR="00A6465C" w:rsidRPr="00BD5A44">
              <w:t>rust is compliant with regards to the above set of expectations through the implementation of the daily safety briefs within bed meetings across the trust.</w:t>
            </w:r>
          </w:p>
          <w:p w:rsidR="00A6465C" w:rsidRDefault="00A6465C" w:rsidP="00A6465C">
            <w:pPr>
              <w:pStyle w:val="ListParagraph"/>
              <w:numPr>
                <w:ilvl w:val="0"/>
                <w:numId w:val="26"/>
              </w:numPr>
              <w:ind w:left="360"/>
            </w:pPr>
            <w:r w:rsidRPr="00BD5A44">
              <w:t xml:space="preserve">The </w:t>
            </w:r>
            <w:r w:rsidR="00A537E2">
              <w:t>T</w:t>
            </w:r>
            <w:r w:rsidRPr="00BD5A44">
              <w:t>rust also continues to comply with the requirement to upload and publish the aggregated monthly nursing a</w:t>
            </w:r>
            <w:r w:rsidR="00A537E2">
              <w:t>nd health care assistant (HCA, non-</w:t>
            </w:r>
            <w:r w:rsidRPr="00BD5A44">
              <w:t xml:space="preserve">registered) staffing data for inpatient areas.  </w:t>
            </w:r>
          </w:p>
          <w:p w:rsidR="00A6465C" w:rsidRPr="00BD5A44" w:rsidRDefault="00A6465C" w:rsidP="00A6465C">
            <w:pPr>
              <w:pStyle w:val="ListParagraph"/>
              <w:numPr>
                <w:ilvl w:val="0"/>
                <w:numId w:val="26"/>
              </w:numPr>
              <w:ind w:left="360"/>
            </w:pPr>
            <w:r>
              <w:t>Bi</w:t>
            </w:r>
            <w:r w:rsidRPr="00BD5A44">
              <w:t>-monthly reports of monthly staffing data are presented to the People and Culture Committee.</w:t>
            </w:r>
          </w:p>
          <w:p w:rsidR="00A6465C" w:rsidRDefault="00A6465C" w:rsidP="00A6465C">
            <w:pPr>
              <w:jc w:val="both"/>
              <w:rPr>
                <w:rFonts w:ascii="Arial" w:hAnsi="Arial" w:cs="Arial"/>
              </w:rPr>
            </w:pPr>
          </w:p>
          <w:p w:rsidR="00A6465C" w:rsidRDefault="00A6465C" w:rsidP="00A6465C">
            <w:pPr>
              <w:jc w:val="both"/>
              <w:rPr>
                <w:rFonts w:ascii="Arial" w:hAnsi="Arial" w:cs="Arial"/>
              </w:rPr>
            </w:pPr>
            <w:r w:rsidRPr="00C81E23">
              <w:rPr>
                <w:rFonts w:ascii="Arial" w:hAnsi="Arial" w:cs="Arial"/>
              </w:rPr>
              <w:t>Throughout t</w:t>
            </w:r>
            <w:r w:rsidR="00A537E2">
              <w:rPr>
                <w:rFonts w:ascii="Arial" w:hAnsi="Arial" w:cs="Arial"/>
              </w:rPr>
              <w:t>his paper, the use of the term “</w:t>
            </w:r>
            <w:r w:rsidRPr="00C81E23">
              <w:rPr>
                <w:rFonts w:ascii="Arial" w:hAnsi="Arial" w:cs="Arial"/>
              </w:rPr>
              <w:t>nursing</w:t>
            </w:r>
            <w:r w:rsidR="00A537E2">
              <w:rPr>
                <w:rFonts w:ascii="Arial" w:hAnsi="Arial" w:cs="Arial"/>
              </w:rPr>
              <w:t>"</w:t>
            </w:r>
            <w:r w:rsidRPr="00C81E23">
              <w:rPr>
                <w:rFonts w:ascii="Arial" w:hAnsi="Arial" w:cs="Arial"/>
              </w:rPr>
              <w:t xml:space="preserve"> will apply to both registered and non-registered nurses.</w:t>
            </w:r>
          </w:p>
          <w:p w:rsidR="00A6465C" w:rsidRPr="00A6465C" w:rsidRDefault="00A6465C" w:rsidP="00A6465C">
            <w:pPr>
              <w:rPr>
                <w:rFonts w:ascii="Arial" w:hAnsi="Arial" w:cs="Arial"/>
              </w:rPr>
            </w:pPr>
          </w:p>
          <w:p w:rsidR="00A6465C" w:rsidRDefault="00A6465C" w:rsidP="00A537E2">
            <w:pPr>
              <w:ind w:left="426" w:hanging="426"/>
              <w:rPr>
                <w:rFonts w:ascii="Arial" w:hAnsi="Arial" w:cs="Arial"/>
              </w:rPr>
            </w:pPr>
            <w:r w:rsidRPr="00A6465C">
              <w:rPr>
                <w:rFonts w:ascii="Arial" w:hAnsi="Arial" w:cs="Arial"/>
              </w:rPr>
              <w:t xml:space="preserve">2.0 </w:t>
            </w:r>
            <w:r w:rsidR="00A537E2">
              <w:rPr>
                <w:rFonts w:ascii="Arial" w:hAnsi="Arial" w:cs="Arial"/>
              </w:rPr>
              <w:tab/>
            </w:r>
            <w:r w:rsidRPr="00A6465C">
              <w:rPr>
                <w:rFonts w:ascii="Arial" w:hAnsi="Arial" w:cs="Arial"/>
              </w:rPr>
              <w:t xml:space="preserve">The full workforce review for Midwifery services has been undertaken in conjunction with </w:t>
            </w:r>
            <w:proofErr w:type="spellStart"/>
            <w:r w:rsidRPr="00A6465C">
              <w:rPr>
                <w:rFonts w:ascii="Arial" w:hAnsi="Arial" w:cs="Arial"/>
              </w:rPr>
              <w:t>Birthrate</w:t>
            </w:r>
            <w:proofErr w:type="spellEnd"/>
            <w:r w:rsidRPr="00A6465C">
              <w:rPr>
                <w:rFonts w:ascii="Arial" w:hAnsi="Arial" w:cs="Arial"/>
              </w:rPr>
              <w:t xml:space="preserve"> Plus (BR+). </w:t>
            </w:r>
          </w:p>
          <w:p w:rsidR="00A6465C" w:rsidRDefault="00A6465C" w:rsidP="00A6465C">
            <w:pPr>
              <w:rPr>
                <w:rFonts w:ascii="Arial" w:hAnsi="Arial" w:cs="Arial"/>
              </w:rPr>
            </w:pPr>
          </w:p>
          <w:p w:rsidR="00EE1100" w:rsidRPr="00A6465C" w:rsidRDefault="00EE1100" w:rsidP="00A6465C">
            <w:pPr>
              <w:rPr>
                <w:rFonts w:ascii="Arial" w:hAnsi="Arial" w:cs="Arial"/>
              </w:rPr>
            </w:pPr>
          </w:p>
          <w:p w:rsidR="00A6465C" w:rsidRDefault="00A6465C" w:rsidP="00A6465C">
            <w:pPr>
              <w:rPr>
                <w:rFonts w:ascii="Arial" w:hAnsi="Arial" w:cs="Arial"/>
                <w:b/>
              </w:rPr>
            </w:pPr>
            <w:r w:rsidRPr="00A6465C">
              <w:rPr>
                <w:rFonts w:ascii="Arial" w:hAnsi="Arial" w:cs="Arial"/>
                <w:b/>
              </w:rPr>
              <w:t>Wards Acuity and Dependency</w:t>
            </w:r>
          </w:p>
          <w:p w:rsidR="00A6465C" w:rsidRPr="00A6465C" w:rsidRDefault="00A6465C" w:rsidP="00A6465C">
            <w:pPr>
              <w:rPr>
                <w:rFonts w:ascii="Arial" w:hAnsi="Arial" w:cs="Arial"/>
              </w:rPr>
            </w:pPr>
            <w:r w:rsidRPr="00A6465C">
              <w:rPr>
                <w:rFonts w:ascii="Arial" w:hAnsi="Arial" w:cs="Arial"/>
              </w:rPr>
              <w:t>The data for the A&amp;D study was collated during the month of February 2018 (Winter).</w:t>
            </w:r>
          </w:p>
          <w:p w:rsidR="00A6465C" w:rsidRPr="00A6465C" w:rsidRDefault="00A6465C" w:rsidP="00A6465C">
            <w:pPr>
              <w:rPr>
                <w:rFonts w:ascii="Arial" w:hAnsi="Arial" w:cs="Arial"/>
              </w:rPr>
            </w:pPr>
          </w:p>
          <w:p w:rsidR="00A6465C" w:rsidRPr="00A6465C" w:rsidRDefault="00EE1100" w:rsidP="00A6465C">
            <w:pPr>
              <w:jc w:val="both"/>
              <w:rPr>
                <w:rFonts w:ascii="Arial" w:hAnsi="Arial" w:cs="Arial"/>
              </w:rPr>
            </w:pPr>
            <w:r>
              <w:rPr>
                <w:rFonts w:ascii="Arial" w:hAnsi="Arial" w:cs="Arial"/>
              </w:rPr>
              <w:t>The T</w:t>
            </w:r>
            <w:r w:rsidR="00A6465C" w:rsidRPr="00A6465C">
              <w:rPr>
                <w:rFonts w:ascii="Arial" w:hAnsi="Arial" w:cs="Arial"/>
              </w:rPr>
              <w:t xml:space="preserve">rust utilised the Safer Nursing Care Tool (SNCT) in order to establish the recommended nursing establishment per ward based on patient acuity and dependency.  </w:t>
            </w:r>
            <w:r w:rsidR="00A6465C" w:rsidRPr="00A6465C">
              <w:rPr>
                <w:rFonts w:ascii="Arial" w:hAnsi="Arial" w:cs="Arial"/>
              </w:rPr>
              <w:lastRenderedPageBreak/>
              <w:t>The SNCT tool is a toolkit endorsed by NICE and nationally and professionally accepted.</w:t>
            </w:r>
          </w:p>
          <w:p w:rsidR="002E4321" w:rsidRDefault="002E4321" w:rsidP="00362FD7">
            <w:pPr>
              <w:rPr>
                <w:rFonts w:ascii="Arial" w:hAnsi="Arial" w:cs="Arial"/>
              </w:rPr>
            </w:pPr>
          </w:p>
        </w:tc>
      </w:tr>
      <w:tr w:rsidR="002E4321" w:rsidTr="00A6465C">
        <w:tc>
          <w:tcPr>
            <w:tcW w:w="9180" w:type="dxa"/>
            <w:shd w:val="clear" w:color="auto" w:fill="FBD4B4" w:themeFill="accent6" w:themeFillTint="66"/>
          </w:tcPr>
          <w:p w:rsidR="002E4321" w:rsidRDefault="002E4321" w:rsidP="00362FD7">
            <w:pPr>
              <w:rPr>
                <w:rFonts w:ascii="Arial" w:hAnsi="Arial" w:cs="Arial"/>
              </w:rPr>
            </w:pPr>
            <w:r>
              <w:rPr>
                <w:rFonts w:ascii="Arial" w:hAnsi="Arial" w:cs="Arial"/>
              </w:rPr>
              <w:lastRenderedPageBreak/>
              <w:t>Issues and options</w:t>
            </w:r>
          </w:p>
        </w:tc>
      </w:tr>
      <w:tr w:rsidR="00F47FEA" w:rsidTr="00F47FEA">
        <w:tc>
          <w:tcPr>
            <w:tcW w:w="9180" w:type="dxa"/>
            <w:shd w:val="clear" w:color="auto" w:fill="FFFFFF" w:themeFill="background1"/>
          </w:tcPr>
          <w:p w:rsidR="005B1297" w:rsidRPr="00C81E23" w:rsidRDefault="002D6349" w:rsidP="003A1329">
            <w:pPr>
              <w:tabs>
                <w:tab w:val="left" w:pos="1418"/>
              </w:tabs>
              <w:ind w:left="425" w:hanging="425"/>
              <w:jc w:val="both"/>
              <w:rPr>
                <w:rFonts w:ascii="Arial" w:hAnsi="Arial" w:cs="Arial"/>
              </w:rPr>
            </w:pPr>
            <w:r>
              <w:rPr>
                <w:rFonts w:ascii="Arial" w:hAnsi="Arial" w:cs="Arial"/>
              </w:rPr>
              <w:t xml:space="preserve">1.0 </w:t>
            </w:r>
            <w:r w:rsidR="00EE1100">
              <w:rPr>
                <w:rFonts w:ascii="Arial" w:hAnsi="Arial" w:cs="Arial"/>
              </w:rPr>
              <w:tab/>
            </w:r>
            <w:r w:rsidR="005B1297" w:rsidRPr="002D6349">
              <w:rPr>
                <w:rFonts w:ascii="Arial" w:hAnsi="Arial" w:cs="Arial"/>
              </w:rPr>
              <w:t>The A</w:t>
            </w:r>
            <w:r>
              <w:rPr>
                <w:rFonts w:ascii="Arial" w:hAnsi="Arial" w:cs="Arial"/>
              </w:rPr>
              <w:t xml:space="preserve">cuity </w:t>
            </w:r>
            <w:r w:rsidR="005B1297" w:rsidRPr="002D6349">
              <w:rPr>
                <w:rFonts w:ascii="Arial" w:hAnsi="Arial" w:cs="Arial"/>
              </w:rPr>
              <w:t>&amp;</w:t>
            </w:r>
            <w:r>
              <w:rPr>
                <w:rFonts w:ascii="Arial" w:hAnsi="Arial" w:cs="Arial"/>
              </w:rPr>
              <w:t xml:space="preserve"> </w:t>
            </w:r>
            <w:r w:rsidR="005B1297" w:rsidRPr="002D6349">
              <w:rPr>
                <w:rFonts w:ascii="Arial" w:hAnsi="Arial" w:cs="Arial"/>
              </w:rPr>
              <w:t>D</w:t>
            </w:r>
            <w:r>
              <w:rPr>
                <w:rFonts w:ascii="Arial" w:hAnsi="Arial" w:cs="Arial"/>
              </w:rPr>
              <w:t xml:space="preserve">ependency </w:t>
            </w:r>
            <w:bookmarkStart w:id="0" w:name="_GoBack"/>
            <w:bookmarkEnd w:id="0"/>
            <w:r w:rsidR="00EE1100">
              <w:rPr>
                <w:rFonts w:ascii="Arial" w:hAnsi="Arial" w:cs="Arial"/>
              </w:rPr>
              <w:t>S</w:t>
            </w:r>
            <w:r w:rsidR="005B1297" w:rsidRPr="002D6349">
              <w:rPr>
                <w:rFonts w:ascii="Arial" w:hAnsi="Arial" w:cs="Arial"/>
              </w:rPr>
              <w:t xml:space="preserve">tudy </w:t>
            </w:r>
            <w:r w:rsidR="00AF30E1">
              <w:rPr>
                <w:rFonts w:ascii="Arial" w:hAnsi="Arial" w:cs="Arial"/>
              </w:rPr>
              <w:t>(</w:t>
            </w:r>
            <w:r w:rsidR="00EE1100">
              <w:rPr>
                <w:rFonts w:ascii="Arial" w:hAnsi="Arial" w:cs="Arial"/>
              </w:rPr>
              <w:t>a</w:t>
            </w:r>
            <w:r w:rsidR="00AF30E1">
              <w:rPr>
                <w:rFonts w:ascii="Arial" w:hAnsi="Arial" w:cs="Arial"/>
              </w:rPr>
              <w:t xml:space="preserve">dult </w:t>
            </w:r>
            <w:r w:rsidR="00EE1100">
              <w:rPr>
                <w:rFonts w:ascii="Arial" w:hAnsi="Arial" w:cs="Arial"/>
              </w:rPr>
              <w:t>w</w:t>
            </w:r>
            <w:r w:rsidR="00AF30E1">
              <w:rPr>
                <w:rFonts w:ascii="Arial" w:hAnsi="Arial" w:cs="Arial"/>
              </w:rPr>
              <w:t xml:space="preserve">ards) </w:t>
            </w:r>
            <w:r w:rsidR="005B1297" w:rsidRPr="002D6349">
              <w:rPr>
                <w:rFonts w:ascii="Arial" w:hAnsi="Arial" w:cs="Arial"/>
              </w:rPr>
              <w:t>has identified a number of recommendations from the findings:</w:t>
            </w:r>
          </w:p>
          <w:p w:rsidR="005B1297" w:rsidRPr="002D6349" w:rsidRDefault="005B1297" w:rsidP="002D6349">
            <w:pPr>
              <w:pStyle w:val="ListParagraph"/>
              <w:numPr>
                <w:ilvl w:val="0"/>
                <w:numId w:val="28"/>
              </w:numPr>
              <w:tabs>
                <w:tab w:val="left" w:pos="1418"/>
              </w:tabs>
            </w:pPr>
            <w:r w:rsidRPr="002D6349">
              <w:t>A repeated workforce review is needed</w:t>
            </w:r>
            <w:r w:rsidR="00914BEF" w:rsidRPr="002D6349">
              <w:t>.  T</w:t>
            </w:r>
            <w:r w:rsidRPr="002D6349">
              <w:t xml:space="preserve">here has been a number of ward moves following the last review which has made it impossible to use historical data to inform current establishments. The A&amp;D studies will take place in October 2018 and January 2019 prior to establishment reviews for April 2019. </w:t>
            </w:r>
          </w:p>
          <w:p w:rsidR="005B1297" w:rsidRPr="002D6349" w:rsidRDefault="005B1297" w:rsidP="002D6349">
            <w:pPr>
              <w:pStyle w:val="ListParagraph"/>
              <w:numPr>
                <w:ilvl w:val="0"/>
                <w:numId w:val="28"/>
              </w:numPr>
              <w:tabs>
                <w:tab w:val="left" w:pos="1418"/>
              </w:tabs>
            </w:pPr>
            <w:r w:rsidRPr="002D6349">
              <w:t xml:space="preserve">The results demonstrated there was a high volume of patients with high dependency.  An external review at the </w:t>
            </w:r>
            <w:r w:rsidR="00186AC8" w:rsidRPr="002D6349">
              <w:t>request of the Chief Nursing Officer</w:t>
            </w:r>
            <w:r w:rsidRPr="002D6349">
              <w:t xml:space="preserve"> by an NHS</w:t>
            </w:r>
            <w:r w:rsidR="00186AC8" w:rsidRPr="002D6349">
              <w:t xml:space="preserve"> </w:t>
            </w:r>
            <w:r w:rsidRPr="002D6349">
              <w:t>I</w:t>
            </w:r>
            <w:r w:rsidR="00186AC8" w:rsidRPr="002D6349">
              <w:t>mprovement</w:t>
            </w:r>
            <w:r w:rsidRPr="002D6349">
              <w:t xml:space="preserve"> workforce expert has taken place in support of this finding.  It has been suggested that staff may have over</w:t>
            </w:r>
            <w:r w:rsidR="00EE1100">
              <w:t>-</w:t>
            </w:r>
            <w:r w:rsidRPr="002D6349">
              <w:t xml:space="preserve">estimated dependency of patients and that training for ward staff on </w:t>
            </w:r>
            <w:r w:rsidR="00FF47B2" w:rsidRPr="002D6349">
              <w:t xml:space="preserve">the </w:t>
            </w:r>
            <w:r w:rsidRPr="002D6349">
              <w:t xml:space="preserve">use of the tool is advisable.  This training will take place in September 2018.  </w:t>
            </w:r>
          </w:p>
          <w:p w:rsidR="005B1297" w:rsidRDefault="008348BF" w:rsidP="005B1297">
            <w:pPr>
              <w:pStyle w:val="ListParagraph"/>
              <w:numPr>
                <w:ilvl w:val="0"/>
                <w:numId w:val="28"/>
              </w:numPr>
              <w:tabs>
                <w:tab w:val="left" w:pos="1418"/>
              </w:tabs>
            </w:pPr>
            <w:r w:rsidRPr="00A6465C">
              <w:t xml:space="preserve">The </w:t>
            </w:r>
            <w:r w:rsidR="005B1297" w:rsidRPr="00A6465C">
              <w:t xml:space="preserve">current establishments and financial positions </w:t>
            </w:r>
            <w:r w:rsidR="00547DC3" w:rsidRPr="00A6465C">
              <w:t xml:space="preserve">were found </w:t>
            </w:r>
            <w:r w:rsidR="005B1297" w:rsidRPr="00A6465C">
              <w:t xml:space="preserve">not </w:t>
            </w:r>
            <w:r w:rsidR="00914BEF" w:rsidRPr="00A6465C">
              <w:t xml:space="preserve">to align with </w:t>
            </w:r>
            <w:r w:rsidR="005B1297" w:rsidRPr="00A6465C">
              <w:t>historical data on workforce establishments.</w:t>
            </w:r>
            <w:r w:rsidRPr="00A6465C">
              <w:t xml:space="preserve">  </w:t>
            </w:r>
            <w:r w:rsidR="005B1297" w:rsidRPr="00A6465C">
              <w:t xml:space="preserve">Although the acuity and dependency staffing requirements </w:t>
            </w:r>
            <w:r w:rsidR="00FF47B2" w:rsidRPr="00A6465C">
              <w:t>(</w:t>
            </w:r>
            <w:r w:rsidR="005B1297" w:rsidRPr="00A6465C">
              <w:t>as outlined by SNCT</w:t>
            </w:r>
            <w:r w:rsidR="00FF47B2" w:rsidRPr="00A6465C">
              <w:t>)</w:t>
            </w:r>
            <w:r w:rsidR="005B1297" w:rsidRPr="00A6465C">
              <w:t xml:space="preserve"> in some areas suggests that staffing requirement may need to be amended</w:t>
            </w:r>
            <w:r w:rsidR="00E22212" w:rsidRPr="00A6465C">
              <w:t>,</w:t>
            </w:r>
            <w:r w:rsidR="005B1297" w:rsidRPr="00A6465C">
              <w:t xml:space="preserve"> there is assurance </w:t>
            </w:r>
            <w:r w:rsidR="007413E5">
              <w:t xml:space="preserve">overall </w:t>
            </w:r>
            <w:r w:rsidR="005B1297" w:rsidRPr="00A6465C">
              <w:t>that our nurse: patient staffing ratios are within the national guidance, of 1 registered nurse:</w:t>
            </w:r>
            <w:r w:rsidRPr="00A6465C">
              <w:t xml:space="preserve"> </w:t>
            </w:r>
            <w:r w:rsidR="005B1297" w:rsidRPr="00A6465C">
              <w:t xml:space="preserve">8 patients for generic wards, 1:4 high dependency areas. </w:t>
            </w:r>
            <w:r w:rsidRPr="00A6465C">
              <w:t xml:space="preserve"> </w:t>
            </w:r>
            <w:r w:rsidR="007413E5">
              <w:t>Given the number of ward moves and reconfigurations within surgery and medicine a</w:t>
            </w:r>
            <w:r w:rsidR="007413E5" w:rsidRPr="00A6465C">
              <w:t xml:space="preserve">lignment of the budgets is needed and a review of those small bed based wards </w:t>
            </w:r>
            <w:r w:rsidR="007413E5">
              <w:t xml:space="preserve">will be </w:t>
            </w:r>
            <w:r w:rsidR="007413E5" w:rsidRPr="00A6465C">
              <w:t>required</w:t>
            </w:r>
            <w:r w:rsidR="007413E5">
              <w:t xml:space="preserve">.  A review of skill mix of registered nurses </w:t>
            </w:r>
            <w:r w:rsidR="00D16779">
              <w:t xml:space="preserve">(those with speciality training of the speciality) </w:t>
            </w:r>
            <w:r w:rsidR="007413E5">
              <w:t xml:space="preserve">in speciality ward areas </w:t>
            </w:r>
            <w:r w:rsidR="00D16779">
              <w:t>will also occur to ensure right skills are in place to meet patients</w:t>
            </w:r>
            <w:r w:rsidR="00EE1100">
              <w:t>’</w:t>
            </w:r>
            <w:r w:rsidR="00D16779">
              <w:t xml:space="preserve"> specific needs.</w:t>
            </w:r>
          </w:p>
          <w:p w:rsidR="007413E5" w:rsidRPr="007413E5" w:rsidRDefault="007413E5" w:rsidP="007413E5">
            <w:pPr>
              <w:pStyle w:val="ListParagraph"/>
              <w:tabs>
                <w:tab w:val="left" w:pos="1418"/>
              </w:tabs>
            </w:pPr>
          </w:p>
          <w:p w:rsidR="005B1297" w:rsidRDefault="005B1297" w:rsidP="00A6465C">
            <w:pPr>
              <w:tabs>
                <w:tab w:val="left" w:pos="1418"/>
              </w:tabs>
              <w:jc w:val="both"/>
              <w:rPr>
                <w:rFonts w:ascii="Arial" w:hAnsi="Arial" w:cs="Arial"/>
              </w:rPr>
            </w:pPr>
            <w:r w:rsidRPr="00C81E23">
              <w:rPr>
                <w:rFonts w:ascii="Arial" w:hAnsi="Arial" w:cs="Arial"/>
              </w:rPr>
              <w:t>Please see Appendix 1 for breakdown of staffing information by ward</w:t>
            </w:r>
            <w:r w:rsidR="008348BF" w:rsidRPr="00C81E23">
              <w:rPr>
                <w:rFonts w:ascii="Arial" w:hAnsi="Arial" w:cs="Arial"/>
              </w:rPr>
              <w:t xml:space="preserve"> and A&amp;D assessment</w:t>
            </w:r>
            <w:r w:rsidR="00C81E23" w:rsidRPr="00C81E23">
              <w:rPr>
                <w:rFonts w:ascii="Arial" w:hAnsi="Arial" w:cs="Arial"/>
              </w:rPr>
              <w:t>, which includes</w:t>
            </w:r>
            <w:r w:rsidR="00914BEF" w:rsidRPr="00C81E23">
              <w:rPr>
                <w:rFonts w:ascii="Arial" w:hAnsi="Arial" w:cs="Arial"/>
              </w:rPr>
              <w:t xml:space="preserve"> findings </w:t>
            </w:r>
            <w:r w:rsidR="007413E5" w:rsidRPr="00C81E23">
              <w:rPr>
                <w:rFonts w:ascii="Arial" w:hAnsi="Arial" w:cs="Arial"/>
              </w:rPr>
              <w:t>and recommendations</w:t>
            </w:r>
            <w:r w:rsidR="00DF259F" w:rsidRPr="00C81E23">
              <w:rPr>
                <w:rFonts w:ascii="Arial" w:hAnsi="Arial" w:cs="Arial"/>
              </w:rPr>
              <w:t xml:space="preserve"> per division</w:t>
            </w:r>
            <w:r w:rsidRPr="00C81E23">
              <w:rPr>
                <w:rFonts w:ascii="Arial" w:hAnsi="Arial" w:cs="Arial"/>
              </w:rPr>
              <w:t xml:space="preserve"> </w:t>
            </w:r>
            <w:r w:rsidR="00C81E23" w:rsidRPr="00C81E23">
              <w:rPr>
                <w:rFonts w:ascii="Arial" w:hAnsi="Arial" w:cs="Arial"/>
              </w:rPr>
              <w:t xml:space="preserve">which </w:t>
            </w:r>
            <w:r w:rsidRPr="00C81E23">
              <w:rPr>
                <w:rFonts w:ascii="Arial" w:hAnsi="Arial" w:cs="Arial"/>
              </w:rPr>
              <w:t>have been put forward from the study</w:t>
            </w:r>
            <w:r w:rsidR="00A6465C">
              <w:rPr>
                <w:rFonts w:ascii="Arial" w:hAnsi="Arial" w:cs="Arial"/>
              </w:rPr>
              <w:t>.</w:t>
            </w:r>
          </w:p>
          <w:p w:rsidR="00A6465C" w:rsidRDefault="00A6465C" w:rsidP="005B1297">
            <w:pPr>
              <w:tabs>
                <w:tab w:val="left" w:pos="1418"/>
              </w:tabs>
              <w:rPr>
                <w:rFonts w:ascii="Arial" w:hAnsi="Arial" w:cs="Arial"/>
              </w:rPr>
            </w:pPr>
          </w:p>
          <w:p w:rsidR="00A6465C" w:rsidRDefault="00A6465C" w:rsidP="00A6465C">
            <w:pPr>
              <w:jc w:val="both"/>
              <w:rPr>
                <w:rFonts w:ascii="Arial" w:hAnsi="Arial" w:cs="Arial"/>
              </w:rPr>
            </w:pPr>
            <w:r w:rsidRPr="00C81E23">
              <w:rPr>
                <w:rFonts w:ascii="Arial" w:hAnsi="Arial" w:cs="Arial"/>
              </w:rPr>
              <w:t xml:space="preserve">Those recommendations have been followed up Deputy Chief Nursing Officer (Quality) and Chief Nursing Officer/NHSI Improvement Director with a meeting in June 2018 with each </w:t>
            </w:r>
            <w:r w:rsidR="00EE1100">
              <w:rPr>
                <w:rFonts w:ascii="Arial" w:hAnsi="Arial" w:cs="Arial"/>
              </w:rPr>
              <w:t>Ward M</w:t>
            </w:r>
            <w:r w:rsidRPr="00C81E23">
              <w:rPr>
                <w:rFonts w:ascii="Arial" w:hAnsi="Arial" w:cs="Arial"/>
              </w:rPr>
              <w:t>anager/</w:t>
            </w:r>
            <w:r w:rsidR="00EE1100">
              <w:rPr>
                <w:rFonts w:ascii="Arial" w:hAnsi="Arial" w:cs="Arial"/>
              </w:rPr>
              <w:t>M</w:t>
            </w:r>
            <w:r w:rsidRPr="00C81E23">
              <w:rPr>
                <w:rFonts w:ascii="Arial" w:hAnsi="Arial" w:cs="Arial"/>
              </w:rPr>
              <w:t>atron.  These meetings reviewed numbers on shift against funded establishment and applied professional judgement model (Telford method) (SNCT).</w:t>
            </w:r>
          </w:p>
          <w:p w:rsidR="00A6465C" w:rsidRDefault="00A6465C" w:rsidP="00A6465C">
            <w:pPr>
              <w:jc w:val="both"/>
              <w:rPr>
                <w:rFonts w:ascii="Arial" w:hAnsi="Arial" w:cs="Arial"/>
              </w:rPr>
            </w:pPr>
          </w:p>
          <w:p w:rsidR="00A6465C" w:rsidRDefault="00A6465C" w:rsidP="00A6465C">
            <w:pPr>
              <w:jc w:val="both"/>
              <w:rPr>
                <w:rFonts w:ascii="Arial" w:hAnsi="Arial" w:cs="Arial"/>
              </w:rPr>
            </w:pPr>
            <w:r w:rsidRPr="00C81E23">
              <w:rPr>
                <w:rFonts w:ascii="Arial" w:hAnsi="Arial" w:cs="Arial"/>
              </w:rPr>
              <w:t>These meetings were to provide assurance that the recommendatio</w:t>
            </w:r>
            <w:r w:rsidR="00EE1100">
              <w:rPr>
                <w:rFonts w:ascii="Arial" w:hAnsi="Arial" w:cs="Arial"/>
              </w:rPr>
              <w:t>ns going forward will provide ‘R</w:t>
            </w:r>
            <w:r w:rsidRPr="00C81E23">
              <w:rPr>
                <w:rFonts w:ascii="Arial" w:hAnsi="Arial" w:cs="Arial"/>
              </w:rPr>
              <w:t xml:space="preserve">ight </w:t>
            </w:r>
            <w:r w:rsidR="00EE1100">
              <w:rPr>
                <w:rFonts w:ascii="Arial" w:hAnsi="Arial" w:cs="Arial"/>
              </w:rPr>
              <w:t>S</w:t>
            </w:r>
            <w:r w:rsidRPr="00C81E23">
              <w:rPr>
                <w:rFonts w:ascii="Arial" w:hAnsi="Arial" w:cs="Arial"/>
              </w:rPr>
              <w:t xml:space="preserve">taff, </w:t>
            </w:r>
            <w:r w:rsidR="00EE1100">
              <w:rPr>
                <w:rFonts w:ascii="Arial" w:hAnsi="Arial" w:cs="Arial"/>
              </w:rPr>
              <w:t>R</w:t>
            </w:r>
            <w:r w:rsidRPr="00C81E23">
              <w:rPr>
                <w:rFonts w:ascii="Arial" w:hAnsi="Arial" w:cs="Arial"/>
              </w:rPr>
              <w:t xml:space="preserve">ight </w:t>
            </w:r>
            <w:r w:rsidR="00EE1100">
              <w:rPr>
                <w:rFonts w:ascii="Arial" w:hAnsi="Arial" w:cs="Arial"/>
              </w:rPr>
              <w:t>S</w:t>
            </w:r>
            <w:r w:rsidRPr="00C81E23">
              <w:rPr>
                <w:rFonts w:ascii="Arial" w:hAnsi="Arial" w:cs="Arial"/>
              </w:rPr>
              <w:t xml:space="preserve">kills, </w:t>
            </w:r>
            <w:r w:rsidR="00EE1100">
              <w:rPr>
                <w:rFonts w:ascii="Arial" w:hAnsi="Arial" w:cs="Arial"/>
              </w:rPr>
              <w:t>R</w:t>
            </w:r>
            <w:r w:rsidRPr="00C81E23">
              <w:rPr>
                <w:rFonts w:ascii="Arial" w:hAnsi="Arial" w:cs="Arial"/>
              </w:rPr>
              <w:t xml:space="preserve">ight </w:t>
            </w:r>
            <w:r w:rsidR="00EE1100">
              <w:rPr>
                <w:rFonts w:ascii="Arial" w:hAnsi="Arial" w:cs="Arial"/>
              </w:rPr>
              <w:t>Place and T</w:t>
            </w:r>
            <w:r w:rsidRPr="00C81E23">
              <w:rPr>
                <w:rFonts w:ascii="Arial" w:hAnsi="Arial" w:cs="Arial"/>
              </w:rPr>
              <w:t xml:space="preserve">ime’ to meet the patient populations they serve.  </w:t>
            </w:r>
          </w:p>
          <w:p w:rsidR="00A6465C" w:rsidRPr="00C81E23" w:rsidRDefault="00A6465C" w:rsidP="00A6465C">
            <w:pPr>
              <w:jc w:val="both"/>
              <w:rPr>
                <w:rFonts w:ascii="Arial" w:hAnsi="Arial" w:cs="Arial"/>
              </w:rPr>
            </w:pPr>
          </w:p>
          <w:p w:rsidR="00A6465C" w:rsidRDefault="00A6465C" w:rsidP="00EE1100">
            <w:pPr>
              <w:ind w:left="425" w:hanging="425"/>
              <w:jc w:val="both"/>
              <w:rPr>
                <w:rFonts w:ascii="Arial" w:hAnsi="Arial" w:cs="Arial"/>
              </w:rPr>
            </w:pPr>
            <w:r w:rsidRPr="00EE1100">
              <w:rPr>
                <w:rFonts w:ascii="Arial" w:hAnsi="Arial" w:cs="Arial"/>
              </w:rPr>
              <w:t xml:space="preserve">2.0 </w:t>
            </w:r>
            <w:r w:rsidR="00EE1100">
              <w:rPr>
                <w:rFonts w:ascii="Arial" w:hAnsi="Arial" w:cs="Arial"/>
              </w:rPr>
              <w:tab/>
            </w:r>
            <w:r w:rsidRPr="00EE1100">
              <w:rPr>
                <w:rFonts w:ascii="Arial" w:hAnsi="Arial" w:cs="Arial"/>
              </w:rPr>
              <w:t>Midwifery staffing review and outcomes</w:t>
            </w:r>
          </w:p>
          <w:p w:rsidR="00EE1100" w:rsidRPr="00EE1100" w:rsidRDefault="00EE1100" w:rsidP="00EE1100">
            <w:pPr>
              <w:ind w:left="425" w:hanging="425"/>
              <w:jc w:val="both"/>
              <w:rPr>
                <w:rFonts w:ascii="Arial" w:hAnsi="Arial" w:cs="Arial"/>
              </w:rPr>
            </w:pPr>
          </w:p>
          <w:p w:rsidR="00A6465C" w:rsidRDefault="00A6465C" w:rsidP="00A6465C">
            <w:pPr>
              <w:jc w:val="both"/>
              <w:rPr>
                <w:rFonts w:ascii="Arial" w:hAnsi="Arial" w:cs="Arial"/>
              </w:rPr>
            </w:pPr>
            <w:proofErr w:type="spellStart"/>
            <w:r>
              <w:rPr>
                <w:rFonts w:ascii="Arial" w:hAnsi="Arial" w:cs="Arial"/>
              </w:rPr>
              <w:t>Birthrate</w:t>
            </w:r>
            <w:proofErr w:type="spellEnd"/>
            <w:r>
              <w:rPr>
                <w:rFonts w:ascii="Arial" w:hAnsi="Arial" w:cs="Arial"/>
              </w:rPr>
              <w:t xml:space="preserve"> plus is the recommended national tool to calculate the workforce requirement for maternity services. Worcestershire Acute Hospitals </w:t>
            </w:r>
            <w:r w:rsidR="00EE1100">
              <w:rPr>
                <w:rFonts w:ascii="Arial" w:hAnsi="Arial" w:cs="Arial"/>
              </w:rPr>
              <w:t xml:space="preserve">NHS </w:t>
            </w:r>
            <w:r>
              <w:rPr>
                <w:rFonts w:ascii="Arial" w:hAnsi="Arial" w:cs="Arial"/>
              </w:rPr>
              <w:t xml:space="preserve">Trust commissioned an external review of the midwifery workforce utilising </w:t>
            </w:r>
            <w:proofErr w:type="spellStart"/>
            <w:r>
              <w:rPr>
                <w:rFonts w:ascii="Arial" w:hAnsi="Arial" w:cs="Arial"/>
              </w:rPr>
              <w:t>Birthrate</w:t>
            </w:r>
            <w:proofErr w:type="spellEnd"/>
            <w:r>
              <w:rPr>
                <w:rFonts w:ascii="Arial" w:hAnsi="Arial" w:cs="Arial"/>
              </w:rPr>
              <w:t xml:space="preserve"> plus. This section reports on the results of the review and recommendations.</w:t>
            </w:r>
          </w:p>
          <w:p w:rsidR="00A6465C" w:rsidRDefault="00A6465C" w:rsidP="00A6465C">
            <w:pPr>
              <w:pStyle w:val="ListParagraph"/>
              <w:numPr>
                <w:ilvl w:val="0"/>
                <w:numId w:val="29"/>
              </w:numPr>
            </w:pPr>
            <w:r w:rsidRPr="002D6349">
              <w:t xml:space="preserve">Birth rate plus reviews the activity and acuity for all aspects of maternity care for </w:t>
            </w:r>
            <w:r w:rsidRPr="002D6349">
              <w:lastRenderedPageBreak/>
              <w:t>women including antenatal, intrapartum and postnatal care within the acute and community settings.</w:t>
            </w:r>
          </w:p>
          <w:p w:rsidR="00A6465C" w:rsidRDefault="00A6465C" w:rsidP="00A6465C">
            <w:pPr>
              <w:pStyle w:val="ListParagraph"/>
              <w:numPr>
                <w:ilvl w:val="0"/>
                <w:numId w:val="29"/>
              </w:numPr>
            </w:pPr>
            <w:r w:rsidRPr="002D6349">
              <w:t xml:space="preserve">The results concluded that the midwifery staffing requirement for maternity services at Worcestershire Acute </w:t>
            </w:r>
            <w:r w:rsidR="00EE1100">
              <w:t xml:space="preserve">Hospitals NHS </w:t>
            </w:r>
            <w:r w:rsidRPr="002D6349">
              <w:t>Trust was 217 WTE. The current establi</w:t>
            </w:r>
            <w:r>
              <w:t>shment is 219 WTE. This provides</w:t>
            </w:r>
            <w:r w:rsidR="00EE1100">
              <w:t xml:space="preserve"> assurance that the Trust is</w:t>
            </w:r>
            <w:r w:rsidRPr="002D6349">
              <w:t xml:space="preserve"> able to provide safe staffing levels across maternity services.</w:t>
            </w:r>
          </w:p>
          <w:p w:rsidR="00A6465C" w:rsidRDefault="00A6465C" w:rsidP="00A6465C">
            <w:pPr>
              <w:pStyle w:val="ListParagraph"/>
              <w:numPr>
                <w:ilvl w:val="0"/>
                <w:numId w:val="29"/>
              </w:numPr>
            </w:pPr>
            <w:r w:rsidRPr="002D6349">
              <w:t xml:space="preserve">The report suggested that consideration should </w:t>
            </w:r>
            <w:r w:rsidR="00EE1100">
              <w:t>be given to the utilisation of M</w:t>
            </w:r>
            <w:r w:rsidRPr="002D6349">
              <w:t xml:space="preserve">aternity </w:t>
            </w:r>
            <w:r w:rsidR="00EE1100">
              <w:t>S</w:t>
            </w:r>
            <w:r w:rsidRPr="002D6349">
              <w:t xml:space="preserve">upport </w:t>
            </w:r>
            <w:r w:rsidR="00EE1100">
              <w:t>W</w:t>
            </w:r>
            <w:r w:rsidRPr="002D6349">
              <w:t xml:space="preserve">orkers (MSW).  Current skill mix is 100% qualified staff and the report recommended implementing a 10% introduction of MSW resulting in a skill mix going forward of 90% midwives to 10% MSW. </w:t>
            </w:r>
          </w:p>
          <w:p w:rsidR="00A6465C" w:rsidRDefault="00A6465C" w:rsidP="00A6465C">
            <w:pPr>
              <w:pStyle w:val="ListParagraph"/>
              <w:numPr>
                <w:ilvl w:val="0"/>
                <w:numId w:val="29"/>
              </w:numPr>
            </w:pPr>
            <w:r w:rsidRPr="002D6349">
              <w:t xml:space="preserve">A quality impact assessment is first required before the proposal for implementation of this workforce adjustment with the recruitment and training of the MSW and full implementation over a 3 year trajectory. </w:t>
            </w:r>
          </w:p>
          <w:p w:rsidR="00A6465C" w:rsidRPr="002D6349" w:rsidRDefault="00A6465C" w:rsidP="00A6465C">
            <w:pPr>
              <w:pStyle w:val="ListParagraph"/>
              <w:numPr>
                <w:ilvl w:val="0"/>
                <w:numId w:val="29"/>
              </w:numPr>
            </w:pPr>
            <w:r w:rsidRPr="002D6349">
              <w:t>The report suggested realigning maternity services to provide an increase in community care.  This would in turn support proposals for Better Births and continuity of care for women.</w:t>
            </w:r>
          </w:p>
          <w:p w:rsidR="00A6465C" w:rsidRDefault="00A6465C" w:rsidP="005B1297">
            <w:pPr>
              <w:tabs>
                <w:tab w:val="left" w:pos="1418"/>
              </w:tabs>
              <w:rPr>
                <w:rFonts w:ascii="Arial" w:hAnsi="Arial" w:cs="Arial"/>
              </w:rPr>
            </w:pPr>
          </w:p>
          <w:p w:rsidR="005B1297" w:rsidRDefault="00A6465C" w:rsidP="00A6465C">
            <w:pPr>
              <w:tabs>
                <w:tab w:val="left" w:pos="1418"/>
              </w:tabs>
              <w:jc w:val="both"/>
              <w:rPr>
                <w:rFonts w:cs="Arial"/>
              </w:rPr>
            </w:pPr>
            <w:r>
              <w:rPr>
                <w:rFonts w:ascii="Arial" w:hAnsi="Arial" w:cs="Arial"/>
              </w:rPr>
              <w:t xml:space="preserve">A working group will be implemented in </w:t>
            </w:r>
            <w:r w:rsidR="00EE1100">
              <w:rPr>
                <w:rFonts w:ascii="Arial" w:hAnsi="Arial" w:cs="Arial"/>
              </w:rPr>
              <w:t>Q</w:t>
            </w:r>
            <w:r>
              <w:rPr>
                <w:rFonts w:ascii="Arial" w:hAnsi="Arial" w:cs="Arial"/>
              </w:rPr>
              <w:t>uarter 2 2018/19 that will take forward the work required to implement the recommendations. This will be reported and monitored through the People and Culture Committee.</w:t>
            </w:r>
          </w:p>
          <w:p w:rsidR="00F47FEA" w:rsidRDefault="00F47FEA" w:rsidP="008348BF">
            <w:pPr>
              <w:rPr>
                <w:rFonts w:ascii="Arial" w:hAnsi="Arial" w:cs="Arial"/>
              </w:rPr>
            </w:pPr>
          </w:p>
        </w:tc>
      </w:tr>
      <w:tr w:rsidR="002E4321" w:rsidTr="00A6465C">
        <w:tc>
          <w:tcPr>
            <w:tcW w:w="9180" w:type="dxa"/>
            <w:shd w:val="clear" w:color="auto" w:fill="FBD4B4" w:themeFill="accent6" w:themeFillTint="66"/>
          </w:tcPr>
          <w:p w:rsidR="002E4321" w:rsidRDefault="002E4321" w:rsidP="00362FD7">
            <w:pPr>
              <w:rPr>
                <w:rFonts w:ascii="Arial" w:hAnsi="Arial" w:cs="Arial"/>
              </w:rPr>
            </w:pPr>
            <w:r>
              <w:rPr>
                <w:rFonts w:ascii="Arial" w:hAnsi="Arial" w:cs="Arial"/>
              </w:rPr>
              <w:lastRenderedPageBreak/>
              <w:t>Recommendations</w:t>
            </w:r>
          </w:p>
        </w:tc>
      </w:tr>
      <w:tr w:rsidR="002E4321" w:rsidTr="00043BAA">
        <w:tc>
          <w:tcPr>
            <w:tcW w:w="9180" w:type="dxa"/>
          </w:tcPr>
          <w:p w:rsidR="00A6465C" w:rsidRDefault="00A6465C" w:rsidP="00A6465C">
            <w:pPr>
              <w:rPr>
                <w:rFonts w:ascii="Arial" w:hAnsi="Arial" w:cs="Arial"/>
                <w:iCs/>
                <w:color w:val="000000"/>
              </w:rPr>
            </w:pPr>
            <w:r>
              <w:rPr>
                <w:rFonts w:ascii="Arial" w:hAnsi="Arial" w:cs="Arial"/>
                <w:iCs/>
                <w:color w:val="000000"/>
              </w:rPr>
              <w:t xml:space="preserve">The Board is asked to </w:t>
            </w:r>
          </w:p>
          <w:p w:rsidR="00A6465C" w:rsidRPr="002E4960" w:rsidRDefault="00A6465C" w:rsidP="00A6465C">
            <w:pPr>
              <w:pStyle w:val="ListParagraph"/>
              <w:numPr>
                <w:ilvl w:val="0"/>
                <w:numId w:val="22"/>
              </w:numPr>
              <w:rPr>
                <w:iCs/>
                <w:color w:val="000000"/>
              </w:rPr>
            </w:pPr>
            <w:r w:rsidRPr="002E4960">
              <w:rPr>
                <w:iCs/>
                <w:color w:val="000000"/>
              </w:rPr>
              <w:t>Note the results from the winter patient acuity and dependency (A&amp;D) study</w:t>
            </w:r>
            <w:r>
              <w:rPr>
                <w:iCs/>
                <w:color w:val="000000"/>
              </w:rPr>
              <w:t>,</w:t>
            </w:r>
            <w:r w:rsidRPr="002E4960">
              <w:rPr>
                <w:iCs/>
                <w:color w:val="000000"/>
              </w:rPr>
              <w:t xml:space="preserve"> and support the use of the study results and Care hours per patient day (CHPPD) in future establishment reviews.  </w:t>
            </w:r>
          </w:p>
          <w:p w:rsidR="00A6465C" w:rsidRDefault="00A6465C" w:rsidP="00A6465C">
            <w:pPr>
              <w:pStyle w:val="ListParagraph"/>
              <w:numPr>
                <w:ilvl w:val="0"/>
                <w:numId w:val="22"/>
              </w:numPr>
              <w:rPr>
                <w:iCs/>
                <w:color w:val="000000"/>
              </w:rPr>
            </w:pPr>
            <w:r>
              <w:rPr>
                <w:iCs/>
                <w:color w:val="000000"/>
              </w:rPr>
              <w:t>Note the associated actions arising from the Dependency and Acuity review outlined in the paper.</w:t>
            </w:r>
          </w:p>
          <w:p w:rsidR="00A6465C" w:rsidRPr="00AF30E1" w:rsidRDefault="00A6465C" w:rsidP="00A6465C">
            <w:pPr>
              <w:pStyle w:val="ListParagraph"/>
              <w:numPr>
                <w:ilvl w:val="0"/>
                <w:numId w:val="22"/>
              </w:numPr>
              <w:rPr>
                <w:iCs/>
                <w:color w:val="000000"/>
              </w:rPr>
            </w:pPr>
            <w:r w:rsidRPr="00AF30E1">
              <w:rPr>
                <w:iCs/>
                <w:color w:val="000000"/>
              </w:rPr>
              <w:t>To note the Birth Rate plus review and outcomes</w:t>
            </w:r>
          </w:p>
          <w:p w:rsidR="00A6465C" w:rsidRDefault="00A6465C" w:rsidP="00A6465C">
            <w:pPr>
              <w:rPr>
                <w:rFonts w:ascii="Arial" w:hAnsi="Arial" w:cs="Arial"/>
                <w:iCs/>
                <w:color w:val="000000"/>
              </w:rPr>
            </w:pPr>
          </w:p>
          <w:p w:rsidR="00A6465C" w:rsidRDefault="00A6465C" w:rsidP="00A6465C">
            <w:pPr>
              <w:rPr>
                <w:rFonts w:ascii="Arial" w:hAnsi="Arial" w:cs="Arial"/>
                <w:iCs/>
                <w:color w:val="000000"/>
              </w:rPr>
            </w:pPr>
            <w:r>
              <w:rPr>
                <w:rFonts w:ascii="Arial" w:hAnsi="Arial" w:cs="Arial"/>
                <w:iCs/>
                <w:color w:val="000000"/>
              </w:rPr>
              <w:t>The Board is also asked to note the high level summary of outcomes and the recommendations for implementing the reviews which the People and Culture Committee will track through and monitor.</w:t>
            </w:r>
          </w:p>
          <w:p w:rsidR="002E4321" w:rsidRDefault="002E4321" w:rsidP="00362FD7">
            <w:pPr>
              <w:rPr>
                <w:rFonts w:ascii="Arial" w:hAnsi="Arial" w:cs="Arial"/>
              </w:rPr>
            </w:pPr>
          </w:p>
        </w:tc>
      </w:tr>
      <w:tr w:rsidR="002E4321" w:rsidTr="00A6465C">
        <w:tc>
          <w:tcPr>
            <w:tcW w:w="9180" w:type="dxa"/>
            <w:shd w:val="clear" w:color="auto" w:fill="FBD4B4" w:themeFill="accent6" w:themeFillTint="66"/>
          </w:tcPr>
          <w:p w:rsidR="002E4321" w:rsidRDefault="002E4321" w:rsidP="00362FD7">
            <w:pPr>
              <w:rPr>
                <w:rFonts w:ascii="Arial" w:hAnsi="Arial" w:cs="Arial"/>
              </w:rPr>
            </w:pPr>
            <w:r>
              <w:rPr>
                <w:rFonts w:ascii="Arial" w:hAnsi="Arial" w:cs="Arial"/>
              </w:rPr>
              <w:t>Appendices</w:t>
            </w:r>
          </w:p>
          <w:p w:rsidR="00EE1100" w:rsidRDefault="00EE1100" w:rsidP="00362FD7">
            <w:pPr>
              <w:rPr>
                <w:rFonts w:ascii="Arial" w:hAnsi="Arial" w:cs="Arial"/>
              </w:rPr>
            </w:pPr>
          </w:p>
          <w:p w:rsidR="00EE1100" w:rsidRDefault="00EE1100" w:rsidP="00EE1100">
            <w:pPr>
              <w:tabs>
                <w:tab w:val="left" w:pos="1418"/>
              </w:tabs>
              <w:jc w:val="both"/>
              <w:rPr>
                <w:rFonts w:ascii="Arial" w:hAnsi="Arial" w:cs="Arial"/>
              </w:rPr>
            </w:pPr>
            <w:r>
              <w:rPr>
                <w:rFonts w:ascii="Arial" w:hAnsi="Arial" w:cs="Arial"/>
              </w:rPr>
              <w:t>Appendix 1: B</w:t>
            </w:r>
            <w:r w:rsidRPr="00C81E23">
              <w:rPr>
                <w:rFonts w:ascii="Arial" w:hAnsi="Arial" w:cs="Arial"/>
              </w:rPr>
              <w:t xml:space="preserve">reakdown of staffing information by </w:t>
            </w:r>
            <w:r>
              <w:rPr>
                <w:rFonts w:ascii="Arial" w:hAnsi="Arial" w:cs="Arial"/>
              </w:rPr>
              <w:t>W</w:t>
            </w:r>
            <w:r w:rsidRPr="00C81E23">
              <w:rPr>
                <w:rFonts w:ascii="Arial" w:hAnsi="Arial" w:cs="Arial"/>
              </w:rPr>
              <w:t>ard and A&amp;D assessment</w:t>
            </w:r>
          </w:p>
        </w:tc>
      </w:tr>
    </w:tbl>
    <w:p w:rsidR="00AC452A" w:rsidRPr="00362FD7" w:rsidRDefault="00AC452A" w:rsidP="00362FD7">
      <w:pPr>
        <w:spacing w:after="0" w:line="240" w:lineRule="auto"/>
        <w:rPr>
          <w:rFonts w:ascii="Arial" w:hAnsi="Arial" w:cs="Arial"/>
        </w:rPr>
      </w:pPr>
    </w:p>
    <w:sectPr w:rsidR="00AC452A" w:rsidRPr="00362FD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53" w:rsidRDefault="00725A53" w:rsidP="00362FD7">
      <w:pPr>
        <w:spacing w:after="0" w:line="240" w:lineRule="auto"/>
      </w:pPr>
      <w:r>
        <w:separator/>
      </w:r>
    </w:p>
  </w:endnote>
  <w:endnote w:type="continuationSeparator" w:id="0">
    <w:p w:rsidR="00725A53" w:rsidRDefault="00725A53" w:rsidP="0036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clear" w:color="auto" w:fill="FBD4B4" w:themeFill="accent6" w:themeFillTint="66"/>
      <w:tblLook w:val="04A0" w:firstRow="1" w:lastRow="0" w:firstColumn="1" w:lastColumn="0" w:noHBand="0" w:noVBand="1"/>
    </w:tblPr>
    <w:tblGrid>
      <w:gridCol w:w="6629"/>
      <w:gridCol w:w="2613"/>
    </w:tblGrid>
    <w:tr w:rsidR="00547DC3" w:rsidRPr="009551FD" w:rsidTr="00A6465C">
      <w:tc>
        <w:tcPr>
          <w:tcW w:w="6629" w:type="dxa"/>
          <w:shd w:val="clear" w:color="auto" w:fill="FBD4B4" w:themeFill="accent6" w:themeFillTint="66"/>
        </w:tcPr>
        <w:p w:rsidR="00A6465C" w:rsidRPr="00A6465C" w:rsidRDefault="00A6465C" w:rsidP="00A6465C">
          <w:pPr>
            <w:rPr>
              <w:rFonts w:ascii="Arial" w:hAnsi="Arial" w:cs="Arial"/>
              <w:sz w:val="20"/>
            </w:rPr>
          </w:pPr>
          <w:r w:rsidRPr="00A6465C">
            <w:rPr>
              <w:rFonts w:ascii="Arial" w:hAnsi="Arial" w:cs="Arial"/>
              <w:sz w:val="20"/>
            </w:rPr>
            <w:t xml:space="preserve">Bi-annual Patients’ Acuity and Dependency Winter Study (February 2018) </w:t>
          </w:r>
        </w:p>
        <w:p w:rsidR="00547DC3" w:rsidRPr="009551FD" w:rsidRDefault="00A6465C" w:rsidP="00A6465C">
          <w:pPr>
            <w:pStyle w:val="Footer"/>
            <w:rPr>
              <w:rFonts w:ascii="Arial" w:hAnsi="Arial" w:cs="Arial"/>
            </w:rPr>
          </w:pPr>
          <w:r w:rsidRPr="00A6465C">
            <w:rPr>
              <w:rFonts w:ascii="Arial" w:hAnsi="Arial" w:cs="Arial"/>
              <w:sz w:val="20"/>
            </w:rPr>
            <w:t>Midwifery Workforce Review (</w:t>
          </w:r>
          <w:proofErr w:type="spellStart"/>
          <w:r w:rsidRPr="00A6465C">
            <w:rPr>
              <w:rFonts w:ascii="Arial" w:hAnsi="Arial" w:cs="Arial"/>
              <w:sz w:val="20"/>
            </w:rPr>
            <w:t>BirthRate</w:t>
          </w:r>
          <w:proofErr w:type="spellEnd"/>
          <w:r w:rsidRPr="00A6465C">
            <w:rPr>
              <w:rFonts w:ascii="Arial" w:hAnsi="Arial" w:cs="Arial"/>
              <w:sz w:val="20"/>
            </w:rPr>
            <w:t xml:space="preserve"> plus- 2017/18)</w:t>
          </w:r>
        </w:p>
      </w:tc>
      <w:tc>
        <w:tcPr>
          <w:tcW w:w="2613" w:type="dxa"/>
          <w:shd w:val="clear" w:color="auto" w:fill="FBD4B4" w:themeFill="accent6" w:themeFillTint="66"/>
        </w:tcPr>
        <w:p w:rsidR="00547DC3" w:rsidRPr="009551FD" w:rsidRDefault="00547DC3" w:rsidP="00DC6768">
          <w:pPr>
            <w:pStyle w:val="Footer"/>
            <w:jc w:val="right"/>
            <w:rPr>
              <w:rFonts w:ascii="Arial" w:hAnsi="Arial" w:cs="Arial"/>
            </w:rPr>
          </w:pPr>
          <w:r w:rsidRPr="009551FD">
            <w:rPr>
              <w:rFonts w:ascii="Arial" w:hAnsi="Arial" w:cs="Arial"/>
            </w:rPr>
            <w:t xml:space="preserve">Page | </w:t>
          </w:r>
          <w:r w:rsidRPr="009551FD">
            <w:rPr>
              <w:rFonts w:ascii="Arial" w:hAnsi="Arial" w:cs="Arial"/>
            </w:rPr>
            <w:fldChar w:fldCharType="begin"/>
          </w:r>
          <w:r w:rsidRPr="009551FD">
            <w:rPr>
              <w:rFonts w:ascii="Arial" w:hAnsi="Arial" w:cs="Arial"/>
            </w:rPr>
            <w:instrText xml:space="preserve"> PAGE   \* MERGEFORMAT </w:instrText>
          </w:r>
          <w:r w:rsidRPr="009551FD">
            <w:rPr>
              <w:rFonts w:ascii="Arial" w:hAnsi="Arial" w:cs="Arial"/>
            </w:rPr>
            <w:fldChar w:fldCharType="separate"/>
          </w:r>
          <w:r w:rsidR="003A1329">
            <w:rPr>
              <w:rFonts w:ascii="Arial" w:hAnsi="Arial" w:cs="Arial"/>
              <w:noProof/>
            </w:rPr>
            <w:t>6</w:t>
          </w:r>
          <w:r w:rsidRPr="009551FD">
            <w:rPr>
              <w:rFonts w:ascii="Arial" w:hAnsi="Arial" w:cs="Arial"/>
              <w:noProof/>
            </w:rPr>
            <w:fldChar w:fldCharType="end"/>
          </w:r>
        </w:p>
      </w:tc>
    </w:tr>
  </w:tbl>
  <w:p w:rsidR="00547DC3" w:rsidRDefault="00547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53" w:rsidRDefault="00725A53" w:rsidP="00362FD7">
      <w:pPr>
        <w:spacing w:after="0" w:line="240" w:lineRule="auto"/>
      </w:pPr>
      <w:r>
        <w:separator/>
      </w:r>
    </w:p>
  </w:footnote>
  <w:footnote w:type="continuationSeparator" w:id="0">
    <w:p w:rsidR="00725A53" w:rsidRDefault="00725A53" w:rsidP="0036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C3" w:rsidRDefault="00547DC3" w:rsidP="00362FD7">
    <w:pPr>
      <w:pStyle w:val="Header"/>
      <w:jc w:val="right"/>
    </w:pPr>
    <w:r>
      <w:rPr>
        <w:noProof/>
        <w:lang w:eastAsia="en-GB"/>
      </w:rPr>
      <w:drawing>
        <wp:inline distT="0" distB="0" distL="0" distR="0" wp14:anchorId="6BFA98E0" wp14:editId="07C7BE7E">
          <wp:extent cx="1062328" cy="6381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923" cy="637933"/>
                  </a:xfrm>
                  <a:prstGeom prst="rect">
                    <a:avLst/>
                  </a:prstGeom>
                </pic:spPr>
              </pic:pic>
            </a:graphicData>
          </a:graphic>
        </wp:inline>
      </w:drawing>
    </w:r>
  </w:p>
  <w:p w:rsidR="00547DC3" w:rsidRPr="002E4321" w:rsidRDefault="00547DC3" w:rsidP="00362FD7">
    <w:pPr>
      <w:pStyle w:val="Header"/>
      <w:rPr>
        <w:i/>
        <w:color w:val="FF0000"/>
      </w:rPr>
    </w:pPr>
  </w:p>
  <w:tbl>
    <w:tblPr>
      <w:tblStyle w:val="TableGrid"/>
      <w:tblW w:w="0" w:type="auto"/>
      <w:tblInd w:w="5211" w:type="dxa"/>
      <w:shd w:val="clear" w:color="auto" w:fill="D99594" w:themeFill="accent2" w:themeFillTint="99"/>
      <w:tblLook w:val="04A0" w:firstRow="1" w:lastRow="0" w:firstColumn="1" w:lastColumn="0" w:noHBand="0" w:noVBand="1"/>
    </w:tblPr>
    <w:tblGrid>
      <w:gridCol w:w="1985"/>
      <w:gridCol w:w="2046"/>
    </w:tblGrid>
    <w:tr w:rsidR="00547DC3" w:rsidRPr="00840488" w:rsidTr="00A6465C">
      <w:tc>
        <w:tcPr>
          <w:tcW w:w="1985" w:type="dxa"/>
          <w:shd w:val="clear" w:color="auto" w:fill="FBD4B4" w:themeFill="accent6" w:themeFillTint="66"/>
        </w:tcPr>
        <w:p w:rsidR="00547DC3" w:rsidRPr="00840488" w:rsidRDefault="00547DC3" w:rsidP="00DC6768">
          <w:pPr>
            <w:pStyle w:val="Header"/>
            <w:rPr>
              <w:rFonts w:ascii="Arial" w:hAnsi="Arial" w:cs="Arial"/>
              <w:sz w:val="20"/>
            </w:rPr>
          </w:pPr>
          <w:r w:rsidRPr="00840488">
            <w:rPr>
              <w:rFonts w:ascii="Arial" w:hAnsi="Arial" w:cs="Arial"/>
              <w:sz w:val="20"/>
            </w:rPr>
            <w:t>Date of meeting</w:t>
          </w:r>
        </w:p>
      </w:tc>
      <w:tc>
        <w:tcPr>
          <w:tcW w:w="2046" w:type="dxa"/>
          <w:shd w:val="clear" w:color="auto" w:fill="FBD4B4" w:themeFill="accent6" w:themeFillTint="66"/>
        </w:tcPr>
        <w:p w:rsidR="00547DC3" w:rsidRPr="00840488" w:rsidRDefault="00A6465C" w:rsidP="00372013">
          <w:pPr>
            <w:pStyle w:val="Header"/>
            <w:rPr>
              <w:rFonts w:ascii="Arial" w:hAnsi="Arial" w:cs="Arial"/>
              <w:sz w:val="20"/>
            </w:rPr>
          </w:pPr>
          <w:r>
            <w:rPr>
              <w:rFonts w:ascii="Arial" w:hAnsi="Arial" w:cs="Arial"/>
              <w:sz w:val="20"/>
            </w:rPr>
            <w:t>17 July 2018</w:t>
          </w:r>
        </w:p>
      </w:tc>
    </w:tr>
    <w:tr w:rsidR="00547DC3" w:rsidRPr="00840488" w:rsidTr="00A6465C">
      <w:tc>
        <w:tcPr>
          <w:tcW w:w="1985" w:type="dxa"/>
          <w:shd w:val="clear" w:color="auto" w:fill="FBD4B4" w:themeFill="accent6" w:themeFillTint="66"/>
        </w:tcPr>
        <w:p w:rsidR="00547DC3" w:rsidRPr="00840488" w:rsidRDefault="00547DC3" w:rsidP="00DC6768">
          <w:pPr>
            <w:pStyle w:val="Header"/>
            <w:rPr>
              <w:rFonts w:ascii="Arial" w:hAnsi="Arial" w:cs="Arial"/>
              <w:sz w:val="20"/>
            </w:rPr>
          </w:pPr>
          <w:r w:rsidRPr="00840488">
            <w:rPr>
              <w:rFonts w:ascii="Arial" w:hAnsi="Arial" w:cs="Arial"/>
              <w:sz w:val="20"/>
            </w:rPr>
            <w:t>Paper number</w:t>
          </w:r>
        </w:p>
      </w:tc>
      <w:tc>
        <w:tcPr>
          <w:tcW w:w="2046" w:type="dxa"/>
          <w:shd w:val="clear" w:color="auto" w:fill="FBD4B4" w:themeFill="accent6" w:themeFillTint="66"/>
        </w:tcPr>
        <w:p w:rsidR="00547DC3" w:rsidRPr="00840488" w:rsidRDefault="00A6465C" w:rsidP="00DC6768">
          <w:pPr>
            <w:pStyle w:val="Header"/>
            <w:rPr>
              <w:rFonts w:ascii="Arial" w:hAnsi="Arial" w:cs="Arial"/>
              <w:sz w:val="20"/>
            </w:rPr>
          </w:pPr>
          <w:r>
            <w:rPr>
              <w:rFonts w:ascii="Arial" w:hAnsi="Arial" w:cs="Arial"/>
              <w:sz w:val="20"/>
            </w:rPr>
            <w:t>F2</w:t>
          </w:r>
        </w:p>
      </w:tc>
    </w:tr>
  </w:tbl>
  <w:p w:rsidR="00547DC3" w:rsidRDefault="0054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B52"/>
    <w:multiLevelType w:val="hybridMultilevel"/>
    <w:tmpl w:val="C256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74AA3"/>
    <w:multiLevelType w:val="hybridMultilevel"/>
    <w:tmpl w:val="3708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71709"/>
    <w:multiLevelType w:val="hybridMultilevel"/>
    <w:tmpl w:val="BBB6A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67BA4"/>
    <w:multiLevelType w:val="hybridMultilevel"/>
    <w:tmpl w:val="18BC27A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78906FA"/>
    <w:multiLevelType w:val="hybridMultilevel"/>
    <w:tmpl w:val="37E46EAC"/>
    <w:lvl w:ilvl="0" w:tplc="18888914">
      <w:start w:val="353"/>
      <w:numFmt w:val="bullet"/>
      <w:lvlText w:val="-"/>
      <w:lvlJc w:val="left"/>
      <w:pPr>
        <w:ind w:left="720" w:hanging="360"/>
      </w:pPr>
      <w:rPr>
        <w:rFonts w:ascii="Calibri" w:eastAsiaTheme="minorHAnsi" w:hAnsi="Calibri"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33F0B"/>
    <w:multiLevelType w:val="hybridMultilevel"/>
    <w:tmpl w:val="2324A710"/>
    <w:lvl w:ilvl="0" w:tplc="3D5AFD8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B9727E5"/>
    <w:multiLevelType w:val="hybridMultilevel"/>
    <w:tmpl w:val="3026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07BB3"/>
    <w:multiLevelType w:val="hybridMultilevel"/>
    <w:tmpl w:val="BA16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E0391"/>
    <w:multiLevelType w:val="hybridMultilevel"/>
    <w:tmpl w:val="F390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B2311"/>
    <w:multiLevelType w:val="hybridMultilevel"/>
    <w:tmpl w:val="CC686B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25DE6601"/>
    <w:multiLevelType w:val="hybridMultilevel"/>
    <w:tmpl w:val="5BBA5062"/>
    <w:lvl w:ilvl="0" w:tplc="032050C8">
      <w:start w:val="353"/>
      <w:numFmt w:val="bullet"/>
      <w:lvlText w:val="-"/>
      <w:lvlJc w:val="left"/>
      <w:pPr>
        <w:ind w:left="1080" w:hanging="360"/>
      </w:pPr>
      <w:rPr>
        <w:rFonts w:ascii="Arial" w:eastAsia="Times New Roman"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597D22"/>
    <w:multiLevelType w:val="multilevel"/>
    <w:tmpl w:val="A0042C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E1233EE"/>
    <w:multiLevelType w:val="hybridMultilevel"/>
    <w:tmpl w:val="C8B8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9643A"/>
    <w:multiLevelType w:val="hybridMultilevel"/>
    <w:tmpl w:val="C4B29BE4"/>
    <w:lvl w:ilvl="0" w:tplc="17B25E20">
      <w:start w:val="1"/>
      <w:numFmt w:val="bullet"/>
      <w:lvlText w:val=""/>
      <w:lvlJc w:val="left"/>
      <w:pPr>
        <w:ind w:left="807" w:hanging="360"/>
      </w:pPr>
      <w:rPr>
        <w:rFonts w:ascii="Symbol" w:hAnsi="Symbol" w:hint="default"/>
        <w:color w:val="auto"/>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nsid w:val="32F93E7F"/>
    <w:multiLevelType w:val="hybridMultilevel"/>
    <w:tmpl w:val="100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02773"/>
    <w:multiLevelType w:val="hybridMultilevel"/>
    <w:tmpl w:val="60D0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40D19"/>
    <w:multiLevelType w:val="hybridMultilevel"/>
    <w:tmpl w:val="FE3C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5F727E"/>
    <w:multiLevelType w:val="hybridMultilevel"/>
    <w:tmpl w:val="15047A1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nsid w:val="41884033"/>
    <w:multiLevelType w:val="hybridMultilevel"/>
    <w:tmpl w:val="39F4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50A10"/>
    <w:multiLevelType w:val="multilevel"/>
    <w:tmpl w:val="83B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7F48F8"/>
    <w:multiLevelType w:val="hybridMultilevel"/>
    <w:tmpl w:val="1F3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7E7357"/>
    <w:multiLevelType w:val="hybridMultilevel"/>
    <w:tmpl w:val="79A2C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B27606"/>
    <w:multiLevelType w:val="hybridMultilevel"/>
    <w:tmpl w:val="1E08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CB47E2"/>
    <w:multiLevelType w:val="hybridMultilevel"/>
    <w:tmpl w:val="EABE01F8"/>
    <w:lvl w:ilvl="0" w:tplc="3D5AFD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0230AE"/>
    <w:multiLevelType w:val="hybridMultilevel"/>
    <w:tmpl w:val="157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CB6068"/>
    <w:multiLevelType w:val="hybridMultilevel"/>
    <w:tmpl w:val="926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DC0D05"/>
    <w:multiLevelType w:val="hybridMultilevel"/>
    <w:tmpl w:val="7144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130A3F"/>
    <w:multiLevelType w:val="hybridMultilevel"/>
    <w:tmpl w:val="6B8EB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E7814B7"/>
    <w:multiLevelType w:val="hybridMultilevel"/>
    <w:tmpl w:val="CCA4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9"/>
  </w:num>
  <w:num w:numId="4">
    <w:abstractNumId w:val="5"/>
  </w:num>
  <w:num w:numId="5">
    <w:abstractNumId w:val="14"/>
  </w:num>
  <w:num w:numId="6">
    <w:abstractNumId w:val="23"/>
  </w:num>
  <w:num w:numId="7">
    <w:abstractNumId w:val="10"/>
  </w:num>
  <w:num w:numId="8">
    <w:abstractNumId w:val="4"/>
  </w:num>
  <w:num w:numId="9">
    <w:abstractNumId w:val="27"/>
  </w:num>
  <w:num w:numId="10">
    <w:abstractNumId w:val="25"/>
  </w:num>
  <w:num w:numId="11">
    <w:abstractNumId w:val="3"/>
  </w:num>
  <w:num w:numId="12">
    <w:abstractNumId w:val="17"/>
  </w:num>
  <w:num w:numId="13">
    <w:abstractNumId w:val="12"/>
  </w:num>
  <w:num w:numId="14">
    <w:abstractNumId w:val="22"/>
  </w:num>
  <w:num w:numId="15">
    <w:abstractNumId w:val="2"/>
  </w:num>
  <w:num w:numId="16">
    <w:abstractNumId w:val="16"/>
  </w:num>
  <w:num w:numId="17">
    <w:abstractNumId w:val="20"/>
  </w:num>
  <w:num w:numId="18">
    <w:abstractNumId w:val="9"/>
  </w:num>
  <w:num w:numId="19">
    <w:abstractNumId w:val="13"/>
  </w:num>
  <w:num w:numId="20">
    <w:abstractNumId w:val="21"/>
  </w:num>
  <w:num w:numId="21">
    <w:abstractNumId w:val="26"/>
  </w:num>
  <w:num w:numId="22">
    <w:abstractNumId w:val="0"/>
  </w:num>
  <w:num w:numId="23">
    <w:abstractNumId w:val="11"/>
  </w:num>
  <w:num w:numId="24">
    <w:abstractNumId w:val="1"/>
  </w:num>
  <w:num w:numId="25">
    <w:abstractNumId w:val="7"/>
  </w:num>
  <w:num w:numId="26">
    <w:abstractNumId w:val="18"/>
  </w:num>
  <w:num w:numId="27">
    <w:abstractNumId w:val="15"/>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4A"/>
    <w:rsid w:val="00013359"/>
    <w:rsid w:val="00043BAA"/>
    <w:rsid w:val="00057856"/>
    <w:rsid w:val="000A3987"/>
    <w:rsid w:val="000A65E7"/>
    <w:rsid w:val="001332DA"/>
    <w:rsid w:val="00136FF8"/>
    <w:rsid w:val="00186AC8"/>
    <w:rsid w:val="001E3CCB"/>
    <w:rsid w:val="00287D00"/>
    <w:rsid w:val="002902D4"/>
    <w:rsid w:val="002D6349"/>
    <w:rsid w:val="002E4321"/>
    <w:rsid w:val="002E4960"/>
    <w:rsid w:val="003325BA"/>
    <w:rsid w:val="0034539B"/>
    <w:rsid w:val="003527FE"/>
    <w:rsid w:val="00362FD7"/>
    <w:rsid w:val="00372013"/>
    <w:rsid w:val="003A1329"/>
    <w:rsid w:val="003B3D30"/>
    <w:rsid w:val="003B4548"/>
    <w:rsid w:val="003B4C35"/>
    <w:rsid w:val="003E0106"/>
    <w:rsid w:val="00456704"/>
    <w:rsid w:val="00491F6C"/>
    <w:rsid w:val="004C44D2"/>
    <w:rsid w:val="004C6295"/>
    <w:rsid w:val="004E25E4"/>
    <w:rsid w:val="004F3D80"/>
    <w:rsid w:val="00544FDF"/>
    <w:rsid w:val="00547DC3"/>
    <w:rsid w:val="0055262C"/>
    <w:rsid w:val="005B1297"/>
    <w:rsid w:val="005F3428"/>
    <w:rsid w:val="0062209F"/>
    <w:rsid w:val="00647884"/>
    <w:rsid w:val="00656C4A"/>
    <w:rsid w:val="006B0316"/>
    <w:rsid w:val="006B48EC"/>
    <w:rsid w:val="006C12AA"/>
    <w:rsid w:val="00707A78"/>
    <w:rsid w:val="00725A53"/>
    <w:rsid w:val="0073649A"/>
    <w:rsid w:val="0073715D"/>
    <w:rsid w:val="007413E5"/>
    <w:rsid w:val="00757FCA"/>
    <w:rsid w:val="007B5D85"/>
    <w:rsid w:val="00812126"/>
    <w:rsid w:val="008348BF"/>
    <w:rsid w:val="00841E0F"/>
    <w:rsid w:val="00846495"/>
    <w:rsid w:val="00865722"/>
    <w:rsid w:val="008D5030"/>
    <w:rsid w:val="008E19DE"/>
    <w:rsid w:val="00914BEF"/>
    <w:rsid w:val="00937994"/>
    <w:rsid w:val="009D76E0"/>
    <w:rsid w:val="00A15D19"/>
    <w:rsid w:val="00A21BDB"/>
    <w:rsid w:val="00A25420"/>
    <w:rsid w:val="00A32CEF"/>
    <w:rsid w:val="00A537E2"/>
    <w:rsid w:val="00A6465C"/>
    <w:rsid w:val="00A70EC9"/>
    <w:rsid w:val="00A950AA"/>
    <w:rsid w:val="00AA387C"/>
    <w:rsid w:val="00AC452A"/>
    <w:rsid w:val="00AC6D66"/>
    <w:rsid w:val="00AC70D1"/>
    <w:rsid w:val="00AC7B31"/>
    <w:rsid w:val="00AD0A50"/>
    <w:rsid w:val="00AF30E1"/>
    <w:rsid w:val="00B65F65"/>
    <w:rsid w:val="00B74EA3"/>
    <w:rsid w:val="00B970CC"/>
    <w:rsid w:val="00BA3657"/>
    <w:rsid w:val="00BD5A44"/>
    <w:rsid w:val="00C35F06"/>
    <w:rsid w:val="00C71EF1"/>
    <w:rsid w:val="00C81E23"/>
    <w:rsid w:val="00CE24C8"/>
    <w:rsid w:val="00CF38B6"/>
    <w:rsid w:val="00D12FA3"/>
    <w:rsid w:val="00D16779"/>
    <w:rsid w:val="00D2138D"/>
    <w:rsid w:val="00D36CFA"/>
    <w:rsid w:val="00D95381"/>
    <w:rsid w:val="00DA20F8"/>
    <w:rsid w:val="00DA381B"/>
    <w:rsid w:val="00DC6768"/>
    <w:rsid w:val="00DF259F"/>
    <w:rsid w:val="00E22212"/>
    <w:rsid w:val="00E31471"/>
    <w:rsid w:val="00E44E0E"/>
    <w:rsid w:val="00E97B70"/>
    <w:rsid w:val="00EA0F74"/>
    <w:rsid w:val="00EB1D6C"/>
    <w:rsid w:val="00ED5520"/>
    <w:rsid w:val="00EE1100"/>
    <w:rsid w:val="00F20574"/>
    <w:rsid w:val="00F40B6E"/>
    <w:rsid w:val="00F47FEA"/>
    <w:rsid w:val="00F66314"/>
    <w:rsid w:val="00FC0C0B"/>
    <w:rsid w:val="00FF4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846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4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420"/>
    <w:pPr>
      <w:spacing w:before="200" w:line="240" w:lineRule="auto"/>
      <w:ind w:left="720"/>
      <w:contextualSpacing/>
      <w:jc w:val="both"/>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8D5030"/>
    <w:rPr>
      <w:sz w:val="16"/>
      <w:szCs w:val="16"/>
    </w:rPr>
  </w:style>
  <w:style w:type="paragraph" w:styleId="CommentText">
    <w:name w:val="annotation text"/>
    <w:basedOn w:val="Normal"/>
    <w:link w:val="CommentTextChar"/>
    <w:uiPriority w:val="99"/>
    <w:semiHidden/>
    <w:unhideWhenUsed/>
    <w:rsid w:val="008D5030"/>
    <w:pPr>
      <w:spacing w:line="240" w:lineRule="auto"/>
    </w:pPr>
    <w:rPr>
      <w:sz w:val="20"/>
      <w:szCs w:val="20"/>
    </w:rPr>
  </w:style>
  <w:style w:type="character" w:customStyle="1" w:styleId="CommentTextChar">
    <w:name w:val="Comment Text Char"/>
    <w:basedOn w:val="DefaultParagraphFont"/>
    <w:link w:val="CommentText"/>
    <w:uiPriority w:val="99"/>
    <w:semiHidden/>
    <w:rsid w:val="008D5030"/>
    <w:rPr>
      <w:sz w:val="20"/>
      <w:szCs w:val="20"/>
    </w:rPr>
  </w:style>
  <w:style w:type="paragraph" w:styleId="CommentSubject">
    <w:name w:val="annotation subject"/>
    <w:basedOn w:val="CommentText"/>
    <w:next w:val="CommentText"/>
    <w:link w:val="CommentSubjectChar"/>
    <w:uiPriority w:val="99"/>
    <w:semiHidden/>
    <w:unhideWhenUsed/>
    <w:rsid w:val="008D5030"/>
    <w:rPr>
      <w:b/>
      <w:bCs/>
    </w:rPr>
  </w:style>
  <w:style w:type="character" w:customStyle="1" w:styleId="CommentSubjectChar">
    <w:name w:val="Comment Subject Char"/>
    <w:basedOn w:val="CommentTextChar"/>
    <w:link w:val="CommentSubject"/>
    <w:uiPriority w:val="99"/>
    <w:semiHidden/>
    <w:rsid w:val="008D5030"/>
    <w:rPr>
      <w:b/>
      <w:bCs/>
      <w:sz w:val="20"/>
      <w:szCs w:val="20"/>
    </w:rPr>
  </w:style>
  <w:style w:type="paragraph" w:styleId="NoSpacing">
    <w:name w:val="No Spacing"/>
    <w:uiPriority w:val="1"/>
    <w:qFormat/>
    <w:rsid w:val="003B3D30"/>
    <w:pPr>
      <w:widowControl w:val="0"/>
      <w:overflowPunct w:val="0"/>
      <w:autoSpaceDE w:val="0"/>
      <w:autoSpaceDN w:val="0"/>
      <w:adjustRightInd w:val="0"/>
      <w:spacing w:after="0" w:line="240" w:lineRule="auto"/>
      <w:textAlignment w:val="baseline"/>
    </w:pPr>
    <w:rPr>
      <w:rFonts w:ascii="Tahoma" w:eastAsia="Times New Roman" w:hAnsi="Tahoma" w:cs="Times New Roman"/>
      <w:sz w:val="24"/>
      <w:szCs w:val="20"/>
      <w:lang w:eastAsia="en-GB"/>
    </w:rPr>
  </w:style>
  <w:style w:type="character" w:customStyle="1" w:styleId="Heading1Char">
    <w:name w:val="Heading 1 Char"/>
    <w:basedOn w:val="DefaultParagraphFont"/>
    <w:link w:val="Heading1"/>
    <w:uiPriority w:val="9"/>
    <w:rsid w:val="008464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4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846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4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420"/>
    <w:pPr>
      <w:spacing w:before="200" w:line="240" w:lineRule="auto"/>
      <w:ind w:left="720"/>
      <w:contextualSpacing/>
      <w:jc w:val="both"/>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8D5030"/>
    <w:rPr>
      <w:sz w:val="16"/>
      <w:szCs w:val="16"/>
    </w:rPr>
  </w:style>
  <w:style w:type="paragraph" w:styleId="CommentText">
    <w:name w:val="annotation text"/>
    <w:basedOn w:val="Normal"/>
    <w:link w:val="CommentTextChar"/>
    <w:uiPriority w:val="99"/>
    <w:semiHidden/>
    <w:unhideWhenUsed/>
    <w:rsid w:val="008D5030"/>
    <w:pPr>
      <w:spacing w:line="240" w:lineRule="auto"/>
    </w:pPr>
    <w:rPr>
      <w:sz w:val="20"/>
      <w:szCs w:val="20"/>
    </w:rPr>
  </w:style>
  <w:style w:type="character" w:customStyle="1" w:styleId="CommentTextChar">
    <w:name w:val="Comment Text Char"/>
    <w:basedOn w:val="DefaultParagraphFont"/>
    <w:link w:val="CommentText"/>
    <w:uiPriority w:val="99"/>
    <w:semiHidden/>
    <w:rsid w:val="008D5030"/>
    <w:rPr>
      <w:sz w:val="20"/>
      <w:szCs w:val="20"/>
    </w:rPr>
  </w:style>
  <w:style w:type="paragraph" w:styleId="CommentSubject">
    <w:name w:val="annotation subject"/>
    <w:basedOn w:val="CommentText"/>
    <w:next w:val="CommentText"/>
    <w:link w:val="CommentSubjectChar"/>
    <w:uiPriority w:val="99"/>
    <w:semiHidden/>
    <w:unhideWhenUsed/>
    <w:rsid w:val="008D5030"/>
    <w:rPr>
      <w:b/>
      <w:bCs/>
    </w:rPr>
  </w:style>
  <w:style w:type="character" w:customStyle="1" w:styleId="CommentSubjectChar">
    <w:name w:val="Comment Subject Char"/>
    <w:basedOn w:val="CommentTextChar"/>
    <w:link w:val="CommentSubject"/>
    <w:uiPriority w:val="99"/>
    <w:semiHidden/>
    <w:rsid w:val="008D5030"/>
    <w:rPr>
      <w:b/>
      <w:bCs/>
      <w:sz w:val="20"/>
      <w:szCs w:val="20"/>
    </w:rPr>
  </w:style>
  <w:style w:type="paragraph" w:styleId="NoSpacing">
    <w:name w:val="No Spacing"/>
    <w:uiPriority w:val="1"/>
    <w:qFormat/>
    <w:rsid w:val="003B3D30"/>
    <w:pPr>
      <w:widowControl w:val="0"/>
      <w:overflowPunct w:val="0"/>
      <w:autoSpaceDE w:val="0"/>
      <w:autoSpaceDN w:val="0"/>
      <w:adjustRightInd w:val="0"/>
      <w:spacing w:after="0" w:line="240" w:lineRule="auto"/>
      <w:textAlignment w:val="baseline"/>
    </w:pPr>
    <w:rPr>
      <w:rFonts w:ascii="Tahoma" w:eastAsia="Times New Roman" w:hAnsi="Tahoma" w:cs="Times New Roman"/>
      <w:sz w:val="24"/>
      <w:szCs w:val="20"/>
      <w:lang w:eastAsia="en-GB"/>
    </w:rPr>
  </w:style>
  <w:style w:type="character" w:customStyle="1" w:styleId="Heading1Char">
    <w:name w:val="Heading 1 Char"/>
    <w:basedOn w:val="DefaultParagraphFont"/>
    <w:link w:val="Heading1"/>
    <w:uiPriority w:val="9"/>
    <w:rsid w:val="008464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4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71">
      <w:bodyDiv w:val="1"/>
      <w:marLeft w:val="0"/>
      <w:marRight w:val="0"/>
      <w:marTop w:val="0"/>
      <w:marBottom w:val="0"/>
      <w:divBdr>
        <w:top w:val="none" w:sz="0" w:space="0" w:color="auto"/>
        <w:left w:val="none" w:sz="0" w:space="0" w:color="auto"/>
        <w:bottom w:val="none" w:sz="0" w:space="0" w:color="auto"/>
        <w:right w:val="none" w:sz="0" w:space="0" w:color="auto"/>
      </w:divBdr>
    </w:div>
    <w:div w:id="475419777">
      <w:bodyDiv w:val="1"/>
      <w:marLeft w:val="0"/>
      <w:marRight w:val="0"/>
      <w:marTop w:val="0"/>
      <w:marBottom w:val="0"/>
      <w:divBdr>
        <w:top w:val="none" w:sz="0" w:space="0" w:color="auto"/>
        <w:left w:val="none" w:sz="0" w:space="0" w:color="auto"/>
        <w:bottom w:val="none" w:sz="0" w:space="0" w:color="auto"/>
        <w:right w:val="none" w:sz="0" w:space="0" w:color="auto"/>
      </w:divBdr>
    </w:div>
    <w:div w:id="787552103">
      <w:bodyDiv w:val="1"/>
      <w:marLeft w:val="0"/>
      <w:marRight w:val="0"/>
      <w:marTop w:val="0"/>
      <w:marBottom w:val="0"/>
      <w:divBdr>
        <w:top w:val="none" w:sz="0" w:space="0" w:color="auto"/>
        <w:left w:val="none" w:sz="0" w:space="0" w:color="auto"/>
        <w:bottom w:val="none" w:sz="0" w:space="0" w:color="auto"/>
        <w:right w:val="none" w:sz="0" w:space="0" w:color="auto"/>
      </w:divBdr>
    </w:div>
    <w:div w:id="951743389">
      <w:bodyDiv w:val="1"/>
      <w:marLeft w:val="0"/>
      <w:marRight w:val="0"/>
      <w:marTop w:val="0"/>
      <w:marBottom w:val="0"/>
      <w:divBdr>
        <w:top w:val="none" w:sz="0" w:space="0" w:color="auto"/>
        <w:left w:val="none" w:sz="0" w:space="0" w:color="auto"/>
        <w:bottom w:val="none" w:sz="0" w:space="0" w:color="auto"/>
        <w:right w:val="none" w:sz="0" w:space="0" w:color="auto"/>
      </w:divBdr>
    </w:div>
    <w:div w:id="1449734006">
      <w:bodyDiv w:val="1"/>
      <w:marLeft w:val="0"/>
      <w:marRight w:val="0"/>
      <w:marTop w:val="0"/>
      <w:marBottom w:val="0"/>
      <w:divBdr>
        <w:top w:val="none" w:sz="0" w:space="0" w:color="auto"/>
        <w:left w:val="none" w:sz="0" w:space="0" w:color="auto"/>
        <w:bottom w:val="none" w:sz="0" w:space="0" w:color="auto"/>
        <w:right w:val="none" w:sz="0" w:space="0" w:color="auto"/>
      </w:divBdr>
      <w:divsChild>
        <w:div w:id="1635986039">
          <w:marLeft w:val="0"/>
          <w:marRight w:val="0"/>
          <w:marTop w:val="0"/>
          <w:marBottom w:val="0"/>
          <w:divBdr>
            <w:top w:val="none" w:sz="0" w:space="0" w:color="auto"/>
            <w:left w:val="none" w:sz="0" w:space="0" w:color="auto"/>
            <w:bottom w:val="none" w:sz="0" w:space="0" w:color="auto"/>
            <w:right w:val="none" w:sz="0" w:space="0" w:color="auto"/>
          </w:divBdr>
          <w:divsChild>
            <w:div w:id="2070955426">
              <w:marLeft w:val="0"/>
              <w:marRight w:val="0"/>
              <w:marTop w:val="0"/>
              <w:marBottom w:val="0"/>
              <w:divBdr>
                <w:top w:val="none" w:sz="0" w:space="0" w:color="auto"/>
                <w:left w:val="none" w:sz="0" w:space="0" w:color="auto"/>
                <w:bottom w:val="none" w:sz="0" w:space="0" w:color="auto"/>
                <w:right w:val="none" w:sz="0" w:space="0" w:color="auto"/>
              </w:divBdr>
              <w:divsChild>
                <w:div w:id="1308439469">
                  <w:marLeft w:val="0"/>
                  <w:marRight w:val="0"/>
                  <w:marTop w:val="0"/>
                  <w:marBottom w:val="0"/>
                  <w:divBdr>
                    <w:top w:val="none" w:sz="0" w:space="0" w:color="auto"/>
                    <w:left w:val="none" w:sz="0" w:space="0" w:color="auto"/>
                    <w:bottom w:val="none" w:sz="0" w:space="0" w:color="auto"/>
                    <w:right w:val="none" w:sz="0" w:space="0" w:color="auto"/>
                  </w:divBdr>
                  <w:divsChild>
                    <w:div w:id="260603037">
                      <w:marLeft w:val="0"/>
                      <w:marRight w:val="0"/>
                      <w:marTop w:val="0"/>
                      <w:marBottom w:val="0"/>
                      <w:divBdr>
                        <w:top w:val="none" w:sz="0" w:space="0" w:color="auto"/>
                        <w:left w:val="none" w:sz="0" w:space="0" w:color="auto"/>
                        <w:bottom w:val="none" w:sz="0" w:space="0" w:color="auto"/>
                        <w:right w:val="none" w:sz="0" w:space="0" w:color="auto"/>
                      </w:divBdr>
                      <w:divsChild>
                        <w:div w:id="2095976757">
                          <w:marLeft w:val="0"/>
                          <w:marRight w:val="0"/>
                          <w:marTop w:val="0"/>
                          <w:marBottom w:val="0"/>
                          <w:divBdr>
                            <w:top w:val="none" w:sz="0" w:space="0" w:color="auto"/>
                            <w:left w:val="none" w:sz="0" w:space="0" w:color="auto"/>
                            <w:bottom w:val="none" w:sz="0" w:space="0" w:color="auto"/>
                            <w:right w:val="none" w:sz="0" w:space="0" w:color="auto"/>
                          </w:divBdr>
                          <w:divsChild>
                            <w:div w:id="1296638639">
                              <w:marLeft w:val="0"/>
                              <w:marRight w:val="0"/>
                              <w:marTop w:val="0"/>
                              <w:marBottom w:val="0"/>
                              <w:divBdr>
                                <w:top w:val="none" w:sz="0" w:space="0" w:color="auto"/>
                                <w:left w:val="none" w:sz="0" w:space="0" w:color="auto"/>
                                <w:bottom w:val="none" w:sz="0" w:space="0" w:color="auto"/>
                                <w:right w:val="none" w:sz="0" w:space="0" w:color="auto"/>
                              </w:divBdr>
                              <w:divsChild>
                                <w:div w:id="1766729066">
                                  <w:marLeft w:val="0"/>
                                  <w:marRight w:val="0"/>
                                  <w:marTop w:val="0"/>
                                  <w:marBottom w:val="0"/>
                                  <w:divBdr>
                                    <w:top w:val="none" w:sz="0" w:space="0" w:color="auto"/>
                                    <w:left w:val="none" w:sz="0" w:space="0" w:color="auto"/>
                                    <w:bottom w:val="none" w:sz="0" w:space="0" w:color="auto"/>
                                    <w:right w:val="none" w:sz="0" w:space="0" w:color="auto"/>
                                  </w:divBdr>
                                </w:div>
                                <w:div w:id="1469199429">
                                  <w:marLeft w:val="0"/>
                                  <w:marRight w:val="0"/>
                                  <w:marTop w:val="0"/>
                                  <w:marBottom w:val="0"/>
                                  <w:divBdr>
                                    <w:top w:val="none" w:sz="0" w:space="0" w:color="auto"/>
                                    <w:left w:val="none" w:sz="0" w:space="0" w:color="auto"/>
                                    <w:bottom w:val="none" w:sz="0" w:space="0" w:color="auto"/>
                                    <w:right w:val="none" w:sz="0" w:space="0" w:color="auto"/>
                                  </w:divBdr>
                                </w:div>
                                <w:div w:id="1385250779">
                                  <w:marLeft w:val="0"/>
                                  <w:marRight w:val="0"/>
                                  <w:marTop w:val="0"/>
                                  <w:marBottom w:val="0"/>
                                  <w:divBdr>
                                    <w:top w:val="none" w:sz="0" w:space="0" w:color="auto"/>
                                    <w:left w:val="none" w:sz="0" w:space="0" w:color="auto"/>
                                    <w:bottom w:val="none" w:sz="0" w:space="0" w:color="auto"/>
                                    <w:right w:val="none" w:sz="0" w:space="0" w:color="auto"/>
                                  </w:divBdr>
                                </w:div>
                                <w:div w:id="13176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3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dhs\AppData\Local\Microsoft\Windows\Temporary%20Internet%20Files\Content.Outlook\ST58GP57\PC%20report%20-%20Januar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FF8F-99B8-4277-A139-A72CFCA7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report - January 2018.dotx</Template>
  <TotalTime>7</TotalTime>
  <Pages>7</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Needham, Sarah</dc:creator>
  <cp:lastModifiedBy>Sharpe, Kimara (Chief Executive Department)</cp:lastModifiedBy>
  <cp:revision>4</cp:revision>
  <cp:lastPrinted>2018-07-06T08:34:00Z</cp:lastPrinted>
  <dcterms:created xsi:type="dcterms:W3CDTF">2018-07-10T11:33:00Z</dcterms:created>
  <dcterms:modified xsi:type="dcterms:W3CDTF">2018-07-10T11:43:00Z</dcterms:modified>
</cp:coreProperties>
</file>