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1C" w:rsidRPr="00384120" w:rsidRDefault="009B0F94" w:rsidP="009B0F94">
      <w:pPr>
        <w:spacing w:after="0" w:line="240" w:lineRule="auto"/>
        <w:ind w:left="-851"/>
        <w:jc w:val="center"/>
        <w:rPr>
          <w:b/>
          <w:sz w:val="28"/>
          <w:szCs w:val="28"/>
        </w:rPr>
      </w:pPr>
      <w:bookmarkStart w:id="0" w:name="_GoBack"/>
      <w:bookmarkEnd w:id="0"/>
      <w:r w:rsidRPr="00384120">
        <w:rPr>
          <w:b/>
          <w:sz w:val="28"/>
          <w:szCs w:val="28"/>
        </w:rPr>
        <w:t xml:space="preserve">REFERRAL </w:t>
      </w:r>
      <w:r w:rsidR="00384120">
        <w:rPr>
          <w:b/>
          <w:sz w:val="28"/>
          <w:szCs w:val="28"/>
        </w:rPr>
        <w:t xml:space="preserve">FORM </w:t>
      </w:r>
      <w:r w:rsidRPr="00384120">
        <w:rPr>
          <w:b/>
          <w:sz w:val="28"/>
          <w:szCs w:val="28"/>
        </w:rPr>
        <w:t xml:space="preserve">FOR CONSIDERATION OF </w:t>
      </w:r>
      <w:r w:rsidR="0073406F" w:rsidRPr="00384120">
        <w:rPr>
          <w:b/>
          <w:sz w:val="28"/>
          <w:szCs w:val="28"/>
        </w:rPr>
        <w:t>TONSIL</w:t>
      </w:r>
      <w:r w:rsidR="00F1369C">
        <w:rPr>
          <w:b/>
          <w:sz w:val="28"/>
          <w:szCs w:val="28"/>
        </w:rPr>
        <w:t>L</w:t>
      </w:r>
      <w:r w:rsidR="0073406F" w:rsidRPr="00384120">
        <w:rPr>
          <w:b/>
          <w:sz w:val="28"/>
          <w:szCs w:val="28"/>
        </w:rPr>
        <w:t>ECTOMY SURGERY</w:t>
      </w:r>
    </w:p>
    <w:tbl>
      <w:tblPr>
        <w:tblStyle w:val="TableGrid"/>
        <w:tblW w:w="10916" w:type="dxa"/>
        <w:tblInd w:w="-743" w:type="dxa"/>
        <w:tblLook w:val="04A0" w:firstRow="1" w:lastRow="0" w:firstColumn="1" w:lastColumn="0" w:noHBand="0" w:noVBand="1"/>
      </w:tblPr>
      <w:tblGrid>
        <w:gridCol w:w="1844"/>
        <w:gridCol w:w="2976"/>
        <w:gridCol w:w="2835"/>
        <w:gridCol w:w="851"/>
        <w:gridCol w:w="2410"/>
      </w:tblGrid>
      <w:tr w:rsidR="0038182C" w:rsidRPr="0038182C" w:rsidTr="00DA4EF6">
        <w:trPr>
          <w:trHeight w:val="397"/>
        </w:trPr>
        <w:tc>
          <w:tcPr>
            <w:tcW w:w="10916" w:type="dxa"/>
            <w:gridSpan w:val="5"/>
            <w:shd w:val="clear" w:color="auto" w:fill="5F497A" w:themeFill="accent4" w:themeFillShade="BF"/>
            <w:vAlign w:val="center"/>
          </w:tcPr>
          <w:p w:rsidR="00A6351C" w:rsidRPr="0038182C" w:rsidRDefault="00A6351C" w:rsidP="0038182C">
            <w:pPr>
              <w:rPr>
                <w:b/>
                <w:color w:val="FFFFFF" w:themeColor="background1"/>
                <w:sz w:val="24"/>
                <w:szCs w:val="24"/>
              </w:rPr>
            </w:pPr>
            <w:r w:rsidRPr="00482838">
              <w:rPr>
                <w:b/>
                <w:color w:val="FFFFFF" w:themeColor="background1"/>
                <w:sz w:val="28"/>
                <w:szCs w:val="28"/>
              </w:rPr>
              <w:t>PATIENT DETAILS</w:t>
            </w:r>
          </w:p>
        </w:tc>
      </w:tr>
      <w:tr w:rsidR="00A6351C" w:rsidTr="00DA4EF6">
        <w:trPr>
          <w:trHeight w:val="425"/>
        </w:trPr>
        <w:tc>
          <w:tcPr>
            <w:tcW w:w="1844" w:type="dxa"/>
            <w:vAlign w:val="center"/>
          </w:tcPr>
          <w:p w:rsidR="00A6351C" w:rsidRDefault="00A6351C" w:rsidP="00A3604B">
            <w:r>
              <w:t>Date of Referral</w:t>
            </w:r>
            <w:r w:rsidR="0038182C">
              <w:t>:</w:t>
            </w:r>
          </w:p>
        </w:tc>
        <w:tc>
          <w:tcPr>
            <w:tcW w:w="2976" w:type="dxa"/>
            <w:vAlign w:val="center"/>
          </w:tcPr>
          <w:p w:rsidR="00A6351C" w:rsidRDefault="00A6351C" w:rsidP="00A3604B"/>
        </w:tc>
        <w:tc>
          <w:tcPr>
            <w:tcW w:w="2835" w:type="dxa"/>
            <w:vAlign w:val="center"/>
          </w:tcPr>
          <w:p w:rsidR="00A6351C" w:rsidRDefault="00A3604B" w:rsidP="00A3604B">
            <w:r>
              <w:t>Date Referral Received:</w:t>
            </w:r>
          </w:p>
        </w:tc>
        <w:tc>
          <w:tcPr>
            <w:tcW w:w="3261" w:type="dxa"/>
            <w:gridSpan w:val="2"/>
            <w:vAlign w:val="center"/>
          </w:tcPr>
          <w:p w:rsidR="00A6351C" w:rsidRDefault="00A6351C" w:rsidP="00A3604B"/>
        </w:tc>
      </w:tr>
      <w:tr w:rsidR="00A6351C" w:rsidTr="00DA4EF6">
        <w:trPr>
          <w:trHeight w:val="425"/>
        </w:trPr>
        <w:tc>
          <w:tcPr>
            <w:tcW w:w="1844" w:type="dxa"/>
            <w:vAlign w:val="center"/>
          </w:tcPr>
          <w:p w:rsidR="00A6351C" w:rsidRDefault="0038182C" w:rsidP="00A3604B">
            <w:r>
              <w:t>GP Practice:</w:t>
            </w:r>
          </w:p>
        </w:tc>
        <w:tc>
          <w:tcPr>
            <w:tcW w:w="2976" w:type="dxa"/>
            <w:vAlign w:val="center"/>
          </w:tcPr>
          <w:p w:rsidR="00A6351C" w:rsidRDefault="00A6351C" w:rsidP="00A3604B"/>
          <w:p w:rsidR="00B90F6D" w:rsidRDefault="00B90F6D" w:rsidP="00A3604B"/>
          <w:p w:rsidR="00482838" w:rsidRDefault="00482838" w:rsidP="00A3604B"/>
        </w:tc>
        <w:tc>
          <w:tcPr>
            <w:tcW w:w="2835" w:type="dxa"/>
            <w:vAlign w:val="center"/>
          </w:tcPr>
          <w:p w:rsidR="00A6351C" w:rsidRDefault="0038182C" w:rsidP="00A3604B">
            <w:r>
              <w:t>Referring GP:</w:t>
            </w:r>
          </w:p>
        </w:tc>
        <w:tc>
          <w:tcPr>
            <w:tcW w:w="3261" w:type="dxa"/>
            <w:gridSpan w:val="2"/>
            <w:vAlign w:val="center"/>
          </w:tcPr>
          <w:p w:rsidR="00A6351C" w:rsidRDefault="00A6351C" w:rsidP="00A3604B"/>
        </w:tc>
      </w:tr>
      <w:tr w:rsidR="00A6351C" w:rsidTr="00DA4EF6">
        <w:trPr>
          <w:trHeight w:val="425"/>
        </w:trPr>
        <w:tc>
          <w:tcPr>
            <w:tcW w:w="1844" w:type="dxa"/>
            <w:vAlign w:val="center"/>
          </w:tcPr>
          <w:p w:rsidR="00A6351C" w:rsidRDefault="00A6351C" w:rsidP="00A3604B">
            <w:r>
              <w:t>Patient Initials</w:t>
            </w:r>
            <w:r w:rsidR="0038182C">
              <w:t>:</w:t>
            </w:r>
          </w:p>
        </w:tc>
        <w:tc>
          <w:tcPr>
            <w:tcW w:w="2976" w:type="dxa"/>
            <w:vAlign w:val="center"/>
          </w:tcPr>
          <w:p w:rsidR="00A6351C" w:rsidRDefault="00A6351C" w:rsidP="00A3604B"/>
          <w:p w:rsidR="00B90F6D" w:rsidRDefault="00B90F6D" w:rsidP="00A3604B"/>
        </w:tc>
        <w:tc>
          <w:tcPr>
            <w:tcW w:w="2835" w:type="dxa"/>
            <w:vAlign w:val="center"/>
          </w:tcPr>
          <w:p w:rsidR="00A6351C" w:rsidRDefault="00A6351C" w:rsidP="00A3604B">
            <w:r>
              <w:t xml:space="preserve">Patient </w:t>
            </w:r>
            <w:proofErr w:type="spellStart"/>
            <w:r>
              <w:t>DoB</w:t>
            </w:r>
            <w:proofErr w:type="spellEnd"/>
            <w:r w:rsidR="0038182C">
              <w:t>:</w:t>
            </w:r>
          </w:p>
        </w:tc>
        <w:tc>
          <w:tcPr>
            <w:tcW w:w="3261" w:type="dxa"/>
            <w:gridSpan w:val="2"/>
            <w:vAlign w:val="center"/>
          </w:tcPr>
          <w:p w:rsidR="00A6351C" w:rsidRDefault="00A6351C" w:rsidP="00A3604B"/>
        </w:tc>
      </w:tr>
      <w:tr w:rsidR="00A6351C" w:rsidTr="00DA4EF6">
        <w:trPr>
          <w:trHeight w:val="425"/>
        </w:trPr>
        <w:tc>
          <w:tcPr>
            <w:tcW w:w="1844" w:type="dxa"/>
            <w:vAlign w:val="center"/>
          </w:tcPr>
          <w:p w:rsidR="00A6351C" w:rsidRDefault="00A6351C" w:rsidP="00A3604B">
            <w:r>
              <w:t>NHS Number</w:t>
            </w:r>
            <w:r w:rsidR="0038182C">
              <w:t>:</w:t>
            </w:r>
          </w:p>
        </w:tc>
        <w:tc>
          <w:tcPr>
            <w:tcW w:w="2976" w:type="dxa"/>
            <w:vAlign w:val="center"/>
          </w:tcPr>
          <w:p w:rsidR="00A6351C" w:rsidRDefault="00A6351C" w:rsidP="00A3604B"/>
        </w:tc>
        <w:tc>
          <w:tcPr>
            <w:tcW w:w="2835" w:type="dxa"/>
            <w:vAlign w:val="center"/>
          </w:tcPr>
          <w:p w:rsidR="00A6351C" w:rsidRDefault="00A6351C" w:rsidP="00A3604B">
            <w:r>
              <w:t>Hospital Number (if known)</w:t>
            </w:r>
            <w:r w:rsidR="0038182C">
              <w:t>:</w:t>
            </w:r>
          </w:p>
        </w:tc>
        <w:tc>
          <w:tcPr>
            <w:tcW w:w="3261" w:type="dxa"/>
            <w:gridSpan w:val="2"/>
            <w:vAlign w:val="center"/>
          </w:tcPr>
          <w:p w:rsidR="00A6351C" w:rsidRDefault="00A6351C" w:rsidP="00A3604B"/>
        </w:tc>
      </w:tr>
      <w:tr w:rsidR="00B72A61" w:rsidRPr="0038182C" w:rsidTr="00DA4EF6">
        <w:trPr>
          <w:trHeight w:val="397"/>
        </w:trPr>
        <w:tc>
          <w:tcPr>
            <w:tcW w:w="10916" w:type="dxa"/>
            <w:gridSpan w:val="5"/>
            <w:tcBorders>
              <w:bottom w:val="single" w:sz="4" w:space="0" w:color="auto"/>
            </w:tcBorders>
            <w:shd w:val="clear" w:color="auto" w:fill="5F497A" w:themeFill="accent4" w:themeFillShade="BF"/>
            <w:vAlign w:val="center"/>
          </w:tcPr>
          <w:p w:rsidR="00B72A61" w:rsidRDefault="00B72A61" w:rsidP="0038182C">
            <w:pPr>
              <w:rPr>
                <w:b/>
                <w:color w:val="FFFFFF" w:themeColor="background1"/>
                <w:sz w:val="24"/>
                <w:szCs w:val="24"/>
              </w:rPr>
            </w:pPr>
            <w:r w:rsidRPr="00482838">
              <w:rPr>
                <w:b/>
                <w:color w:val="FFFFFF" w:themeColor="background1"/>
                <w:sz w:val="28"/>
                <w:szCs w:val="28"/>
              </w:rPr>
              <w:t>POLICY STATEMENT</w:t>
            </w:r>
            <w:r w:rsidRPr="0010464C">
              <w:rPr>
                <w:b/>
                <w:color w:val="FFFFFF" w:themeColor="background1"/>
                <w:sz w:val="24"/>
                <w:szCs w:val="24"/>
              </w:rPr>
              <w:t xml:space="preserve"> </w:t>
            </w:r>
            <w:r>
              <w:rPr>
                <w:b/>
                <w:color w:val="FFFFFF" w:themeColor="background1"/>
                <w:sz w:val="24"/>
                <w:szCs w:val="24"/>
              </w:rPr>
              <w:t>– extract from full policy, which is accessible via this link</w:t>
            </w:r>
          </w:p>
          <w:p w:rsidR="00B72A61" w:rsidRPr="0073406F" w:rsidRDefault="00C04C49" w:rsidP="0038182C">
            <w:pPr>
              <w:rPr>
                <w:b/>
                <w:color w:val="FFFFFF" w:themeColor="background1"/>
                <w:sz w:val="20"/>
                <w:szCs w:val="20"/>
              </w:rPr>
            </w:pPr>
            <w:hyperlink r:id="rId9" w:history="1">
              <w:r w:rsidR="00B72A61" w:rsidRPr="004F54BA">
                <w:rPr>
                  <w:rStyle w:val="Hyperlink"/>
                  <w:b/>
                  <w:color w:val="FFFFFF" w:themeColor="background1"/>
                  <w:sz w:val="20"/>
                  <w:szCs w:val="20"/>
                </w:rPr>
                <w:t>http://www.redditchandbromsgroveccg.nhs.uk/about-us/strategies-policies-and-procedures/commissioning-ifr/?assetdet1029359=39308</w:t>
              </w:r>
            </w:hyperlink>
          </w:p>
        </w:tc>
      </w:tr>
      <w:tr w:rsidR="00B72A61" w:rsidTr="00EA518E">
        <w:trPr>
          <w:trHeight w:val="3054"/>
        </w:trPr>
        <w:tc>
          <w:tcPr>
            <w:tcW w:w="8506" w:type="dxa"/>
            <w:gridSpan w:val="4"/>
            <w:tcBorders>
              <w:bottom w:val="dotted" w:sz="4" w:space="0" w:color="auto"/>
            </w:tcBorders>
          </w:tcPr>
          <w:p w:rsidR="00B72A61" w:rsidRPr="0063638E" w:rsidRDefault="00B72A61" w:rsidP="0073406F">
            <w:pPr>
              <w:rPr>
                <w:sz w:val="8"/>
                <w:szCs w:val="8"/>
              </w:rPr>
            </w:pPr>
          </w:p>
          <w:p w:rsidR="00B72A61" w:rsidRPr="004F54BA" w:rsidRDefault="00B72A61" w:rsidP="0073406F">
            <w:pPr>
              <w:rPr>
                <w:szCs w:val="24"/>
              </w:rPr>
            </w:pPr>
            <w:r w:rsidRPr="004F54BA">
              <w:rPr>
                <w:szCs w:val="24"/>
              </w:rPr>
              <w:t>Referral for tonsillectomy is recommended when :</w:t>
            </w:r>
          </w:p>
          <w:p w:rsidR="00B72A61" w:rsidRPr="004F54BA" w:rsidRDefault="00B72A61" w:rsidP="0073406F">
            <w:pPr>
              <w:rPr>
                <w:sz w:val="6"/>
                <w:szCs w:val="8"/>
              </w:rPr>
            </w:pPr>
          </w:p>
          <w:p w:rsidR="00B72A61" w:rsidRPr="004F54BA" w:rsidRDefault="00B72A61" w:rsidP="00EA4803">
            <w:pPr>
              <w:pStyle w:val="ListParagraph"/>
              <w:numPr>
                <w:ilvl w:val="0"/>
                <w:numId w:val="9"/>
              </w:numPr>
              <w:spacing w:line="288" w:lineRule="auto"/>
              <w:ind w:left="317" w:hanging="317"/>
              <w:rPr>
                <w:szCs w:val="24"/>
              </w:rPr>
            </w:pPr>
            <w:r>
              <w:rPr>
                <w:szCs w:val="24"/>
              </w:rPr>
              <w:t xml:space="preserve"> </w:t>
            </w:r>
            <w:r w:rsidRPr="004F54BA">
              <w:rPr>
                <w:szCs w:val="24"/>
              </w:rPr>
              <w:t xml:space="preserve">There is suspicion of malignancy, typically squamous carcinoma or lymphoma </w:t>
            </w:r>
            <w:r w:rsidRPr="004F54BA">
              <w:rPr>
                <w:b/>
                <w:szCs w:val="24"/>
              </w:rPr>
              <w:t>OR</w:t>
            </w:r>
          </w:p>
          <w:p w:rsidR="00B72A61" w:rsidRPr="004F54BA" w:rsidRDefault="00B72A61" w:rsidP="00EA4803">
            <w:pPr>
              <w:spacing w:line="288" w:lineRule="auto"/>
              <w:rPr>
                <w:szCs w:val="24"/>
              </w:rPr>
            </w:pPr>
            <w:r w:rsidRPr="004F54BA">
              <w:rPr>
                <w:b/>
                <w:color w:val="FF0000"/>
                <w:sz w:val="32"/>
              </w:rPr>
              <w:sym w:font="Wingdings" w:char="F04F"/>
            </w:r>
            <w:r w:rsidRPr="004F54BA">
              <w:rPr>
                <w:b/>
                <w:color w:val="FF0000"/>
                <w:sz w:val="32"/>
                <w:szCs w:val="24"/>
              </w:rPr>
              <w:t xml:space="preserve"> </w:t>
            </w:r>
            <w:r w:rsidRPr="004F54BA">
              <w:rPr>
                <w:szCs w:val="24"/>
              </w:rPr>
              <w:t xml:space="preserve">Severe tonsillitis or </w:t>
            </w:r>
            <w:proofErr w:type="spellStart"/>
            <w:r w:rsidRPr="004F54BA">
              <w:rPr>
                <w:szCs w:val="24"/>
              </w:rPr>
              <w:t>peritonsillar</w:t>
            </w:r>
            <w:proofErr w:type="spellEnd"/>
            <w:r w:rsidRPr="004F54BA">
              <w:rPr>
                <w:szCs w:val="24"/>
              </w:rPr>
              <w:t xml:space="preserve"> abscess (quinsy) resulting in hospitalisation </w:t>
            </w:r>
            <w:r w:rsidRPr="004F54BA">
              <w:rPr>
                <w:b/>
                <w:szCs w:val="24"/>
              </w:rPr>
              <w:t>OR</w:t>
            </w:r>
          </w:p>
          <w:p w:rsidR="00B72A61" w:rsidRPr="004F54BA" w:rsidRDefault="00B72A61" w:rsidP="00EA4803">
            <w:pPr>
              <w:spacing w:line="288" w:lineRule="auto"/>
              <w:rPr>
                <w:szCs w:val="24"/>
              </w:rPr>
            </w:pPr>
            <w:r w:rsidRPr="004F54BA">
              <w:rPr>
                <w:b/>
                <w:color w:val="FF0000"/>
                <w:sz w:val="32"/>
              </w:rPr>
              <w:sym w:font="Wingdings" w:char="F04F"/>
            </w:r>
            <w:r w:rsidRPr="004F54BA">
              <w:rPr>
                <w:b/>
                <w:color w:val="FF0000"/>
                <w:sz w:val="32"/>
              </w:rPr>
              <w:t xml:space="preserve"> </w:t>
            </w:r>
            <w:r w:rsidRPr="004F54BA">
              <w:rPr>
                <w:szCs w:val="24"/>
              </w:rPr>
              <w:t xml:space="preserve">Tonsillar enlargement causing upper airways obstruction </w:t>
            </w:r>
            <w:r w:rsidRPr="004F54BA">
              <w:rPr>
                <w:b/>
                <w:szCs w:val="24"/>
              </w:rPr>
              <w:t>OR</w:t>
            </w:r>
          </w:p>
          <w:p w:rsidR="00071175" w:rsidRPr="00071175" w:rsidRDefault="00071175" w:rsidP="00071175">
            <w:pPr>
              <w:pStyle w:val="ListParagraph"/>
              <w:numPr>
                <w:ilvl w:val="0"/>
                <w:numId w:val="8"/>
              </w:numPr>
              <w:spacing w:line="288" w:lineRule="auto"/>
              <w:ind w:left="317" w:hanging="283"/>
              <w:rPr>
                <w:szCs w:val="24"/>
              </w:rPr>
            </w:pPr>
            <w:r w:rsidRPr="003D2AC2">
              <w:rPr>
                <w:szCs w:val="24"/>
              </w:rPr>
              <w:t>Tonsillar enlargement causing</w:t>
            </w:r>
            <w:r>
              <w:rPr>
                <w:szCs w:val="24"/>
              </w:rPr>
              <w:t xml:space="preserve"> s</w:t>
            </w:r>
            <w:r w:rsidR="00B72A61" w:rsidRPr="004F54BA">
              <w:rPr>
                <w:szCs w:val="24"/>
              </w:rPr>
              <w:t xml:space="preserve">leep disruption in children witnessed by their parents or carers </w:t>
            </w:r>
            <w:r w:rsidR="00B72A61" w:rsidRPr="004F54BA">
              <w:rPr>
                <w:b/>
                <w:szCs w:val="24"/>
              </w:rPr>
              <w:t>OR</w:t>
            </w:r>
          </w:p>
          <w:p w:rsidR="00071175" w:rsidRPr="00071175" w:rsidRDefault="00B72A61" w:rsidP="00071175">
            <w:pPr>
              <w:pStyle w:val="ListParagraph"/>
              <w:numPr>
                <w:ilvl w:val="0"/>
                <w:numId w:val="8"/>
              </w:numPr>
              <w:spacing w:line="288" w:lineRule="auto"/>
              <w:ind w:left="317" w:hanging="283"/>
              <w:rPr>
                <w:szCs w:val="24"/>
              </w:rPr>
            </w:pPr>
            <w:r w:rsidRPr="00071175">
              <w:rPr>
                <w:szCs w:val="24"/>
              </w:rPr>
              <w:t xml:space="preserve">7 or more well documented, clinically significant,* adequately treated** sore throats in the preceding year </w:t>
            </w:r>
            <w:r w:rsidRPr="00071175">
              <w:rPr>
                <w:b/>
                <w:szCs w:val="24"/>
              </w:rPr>
              <w:t>OR</w:t>
            </w:r>
          </w:p>
          <w:p w:rsidR="00B72A61" w:rsidRPr="00071175" w:rsidRDefault="00B72A61" w:rsidP="00071175">
            <w:pPr>
              <w:pStyle w:val="ListParagraph"/>
              <w:numPr>
                <w:ilvl w:val="0"/>
                <w:numId w:val="8"/>
              </w:numPr>
              <w:spacing w:line="288" w:lineRule="auto"/>
              <w:ind w:left="317" w:hanging="283"/>
              <w:rPr>
                <w:szCs w:val="24"/>
              </w:rPr>
            </w:pPr>
            <w:r w:rsidRPr="00071175">
              <w:rPr>
                <w:szCs w:val="24"/>
              </w:rPr>
              <w:t>5 or more such episodes in each of the preceding two years</w:t>
            </w:r>
          </w:p>
          <w:p w:rsidR="00B72A61" w:rsidRPr="0042713A" w:rsidRDefault="00B72A61" w:rsidP="003706B3">
            <w:pPr>
              <w:rPr>
                <w:sz w:val="20"/>
              </w:rPr>
            </w:pPr>
          </w:p>
        </w:tc>
        <w:tc>
          <w:tcPr>
            <w:tcW w:w="2410" w:type="dxa"/>
            <w:tcBorders>
              <w:bottom w:val="dotted" w:sz="4" w:space="0" w:color="auto"/>
            </w:tcBorders>
          </w:tcPr>
          <w:p w:rsidR="00384120" w:rsidRPr="00CE119B" w:rsidRDefault="00384120" w:rsidP="00EA4803">
            <w:pPr>
              <w:jc w:val="center"/>
              <w:rPr>
                <w:rFonts w:ascii="Arial" w:eastAsia="Times New Roman" w:hAnsi="Arial" w:cs="Arial"/>
                <w:b/>
                <w:sz w:val="20"/>
                <w:szCs w:val="20"/>
                <w:u w:val="single"/>
                <w:lang w:eastAsia="en-GB"/>
              </w:rPr>
            </w:pPr>
            <w:r w:rsidRPr="00CE119B">
              <w:rPr>
                <w:rFonts w:ascii="Arial" w:eastAsia="Times New Roman" w:hAnsi="Arial" w:cs="Arial"/>
                <w:b/>
                <w:sz w:val="20"/>
                <w:szCs w:val="20"/>
                <w:u w:val="single"/>
                <w:lang w:eastAsia="en-GB"/>
              </w:rPr>
              <w:t>Tick All That Apply</w:t>
            </w:r>
          </w:p>
          <w:p w:rsidR="00B72A61" w:rsidRPr="00EA4803" w:rsidRDefault="00B72A61" w:rsidP="00EA4803">
            <w:pPr>
              <w:pStyle w:val="ListParagraph"/>
              <w:ind w:left="357"/>
              <w:rPr>
                <w:rFonts w:ascii="Arial" w:eastAsia="Times New Roman" w:hAnsi="Arial" w:cs="Arial"/>
                <w:sz w:val="14"/>
                <w:szCs w:val="16"/>
                <w:lang w:eastAsia="en-GB"/>
              </w:rPr>
            </w:pPr>
          </w:p>
          <w:p w:rsidR="00B72A61" w:rsidRPr="00EA4803" w:rsidRDefault="00DA4EF6" w:rsidP="00EA4803">
            <w:pPr>
              <w:pStyle w:val="ListParagraph"/>
              <w:spacing w:line="400" w:lineRule="exact"/>
              <w:ind w:left="0"/>
              <w:jc w:val="center"/>
              <w:rPr>
                <w:b/>
                <w:sz w:val="28"/>
                <w:szCs w:val="24"/>
              </w:rPr>
            </w:pPr>
            <w:r>
              <w:rPr>
                <w:b/>
                <w:sz w:val="24"/>
                <w:szCs w:val="24"/>
              </w:rPr>
              <w:t xml:space="preserve">2WW </w:t>
            </w:r>
            <w:r w:rsidR="00B96842" w:rsidRPr="00B96842">
              <w:rPr>
                <w:b/>
                <w:sz w:val="24"/>
                <w:szCs w:val="24"/>
              </w:rPr>
              <w:t>Referral</w:t>
            </w:r>
            <w:r w:rsidR="00EA4803" w:rsidRPr="00EA4803">
              <w:rPr>
                <w:b/>
                <w:sz w:val="24"/>
                <w:szCs w:val="24"/>
              </w:rPr>
              <w:t xml:space="preserve"> </w:t>
            </w:r>
            <w:sdt>
              <w:sdtPr>
                <w:rPr>
                  <w:b/>
                  <w:sz w:val="24"/>
                  <w:szCs w:val="24"/>
                </w:rPr>
                <w:id w:val="1851978465"/>
                <w14:checkbox>
                  <w14:checked w14:val="0"/>
                  <w14:checkedState w14:val="2612" w14:font="MS Gothic"/>
                  <w14:uncheckedState w14:val="2610" w14:font="MS Gothic"/>
                </w14:checkbox>
              </w:sdtPr>
              <w:sdtEndPr/>
              <w:sdtContent>
                <w:r w:rsidR="00EA4803">
                  <w:rPr>
                    <w:rFonts w:ascii="MS Gothic" w:eastAsia="MS Gothic" w:hAnsi="MS Gothic" w:hint="eastAsia"/>
                    <w:b/>
                    <w:sz w:val="24"/>
                    <w:szCs w:val="24"/>
                  </w:rPr>
                  <w:t>☐</w:t>
                </w:r>
              </w:sdtContent>
            </w:sdt>
          </w:p>
          <w:p w:rsidR="00B96842" w:rsidRPr="00B96842" w:rsidRDefault="00DA4EF6" w:rsidP="00071175">
            <w:pPr>
              <w:pStyle w:val="ListParagraph"/>
              <w:spacing w:line="420" w:lineRule="exact"/>
              <w:ind w:left="0"/>
              <w:jc w:val="center"/>
              <w:rPr>
                <w:b/>
                <w:sz w:val="24"/>
                <w:szCs w:val="24"/>
              </w:rPr>
            </w:pPr>
            <w:r>
              <w:rPr>
                <w:b/>
                <w:sz w:val="24"/>
                <w:szCs w:val="24"/>
              </w:rPr>
              <w:t xml:space="preserve">Urgent </w:t>
            </w:r>
            <w:r w:rsidR="00B96842" w:rsidRPr="00B96842">
              <w:rPr>
                <w:b/>
                <w:sz w:val="24"/>
                <w:szCs w:val="24"/>
              </w:rPr>
              <w:t>Referral</w:t>
            </w:r>
            <w:r w:rsidR="00EA4803" w:rsidRPr="00EA4803">
              <w:rPr>
                <w:b/>
                <w:sz w:val="24"/>
                <w:szCs w:val="24"/>
              </w:rPr>
              <w:t xml:space="preserve"> </w:t>
            </w:r>
            <w:sdt>
              <w:sdtPr>
                <w:rPr>
                  <w:b/>
                  <w:sz w:val="24"/>
                  <w:szCs w:val="24"/>
                </w:rPr>
                <w:id w:val="-1567329247"/>
                <w14:checkbox>
                  <w14:checked w14:val="0"/>
                  <w14:checkedState w14:val="2612" w14:font="MS Gothic"/>
                  <w14:uncheckedState w14:val="2610" w14:font="MS Gothic"/>
                </w14:checkbox>
              </w:sdtPr>
              <w:sdtEndPr/>
              <w:sdtContent>
                <w:r w:rsidR="00EA4803">
                  <w:rPr>
                    <w:rFonts w:ascii="MS Gothic" w:eastAsia="MS Gothic" w:hAnsi="MS Gothic" w:hint="eastAsia"/>
                    <w:b/>
                    <w:sz w:val="24"/>
                    <w:szCs w:val="24"/>
                  </w:rPr>
                  <w:t>☐</w:t>
                </w:r>
              </w:sdtContent>
            </w:sdt>
          </w:p>
          <w:p w:rsidR="00B96842" w:rsidRDefault="00DA4EF6" w:rsidP="00EA4803">
            <w:pPr>
              <w:pStyle w:val="ListParagraph"/>
              <w:spacing w:line="400" w:lineRule="exact"/>
              <w:ind w:left="0"/>
              <w:jc w:val="center"/>
              <w:rPr>
                <w:b/>
                <w:sz w:val="24"/>
                <w:szCs w:val="24"/>
              </w:rPr>
            </w:pPr>
            <w:r>
              <w:rPr>
                <w:b/>
                <w:sz w:val="24"/>
                <w:szCs w:val="24"/>
              </w:rPr>
              <w:t xml:space="preserve">Urgent </w:t>
            </w:r>
            <w:r w:rsidR="00B96842" w:rsidRPr="00B96842">
              <w:rPr>
                <w:b/>
                <w:sz w:val="24"/>
                <w:szCs w:val="24"/>
              </w:rPr>
              <w:t>Referral</w:t>
            </w:r>
            <w:r w:rsidR="00EA4803" w:rsidRPr="00EA4803">
              <w:rPr>
                <w:b/>
                <w:sz w:val="24"/>
                <w:szCs w:val="24"/>
              </w:rPr>
              <w:t xml:space="preserve"> </w:t>
            </w:r>
            <w:sdt>
              <w:sdtPr>
                <w:rPr>
                  <w:b/>
                  <w:sz w:val="24"/>
                  <w:szCs w:val="24"/>
                </w:rPr>
                <w:id w:val="225733388"/>
                <w14:checkbox>
                  <w14:checked w14:val="0"/>
                  <w14:checkedState w14:val="2612" w14:font="MS Gothic"/>
                  <w14:uncheckedState w14:val="2610" w14:font="MS Gothic"/>
                </w14:checkbox>
              </w:sdtPr>
              <w:sdtEndPr/>
              <w:sdtContent>
                <w:r w:rsidR="00EA4803">
                  <w:rPr>
                    <w:rFonts w:ascii="MS Gothic" w:eastAsia="MS Gothic" w:hAnsi="MS Gothic" w:hint="eastAsia"/>
                    <w:b/>
                    <w:sz w:val="24"/>
                    <w:szCs w:val="24"/>
                  </w:rPr>
                  <w:t>☐</w:t>
                </w:r>
              </w:sdtContent>
            </w:sdt>
          </w:p>
          <w:p w:rsidR="00B96842" w:rsidRPr="00B96842" w:rsidRDefault="00B96842" w:rsidP="00EA4803">
            <w:pPr>
              <w:pStyle w:val="ListParagraph"/>
              <w:spacing w:line="288" w:lineRule="auto"/>
              <w:ind w:left="0"/>
              <w:jc w:val="center"/>
              <w:rPr>
                <w:b/>
                <w:sz w:val="2"/>
                <w:szCs w:val="24"/>
              </w:rPr>
            </w:pPr>
          </w:p>
          <w:p w:rsidR="00B72A61" w:rsidRDefault="00B72A61" w:rsidP="00071175">
            <w:pPr>
              <w:pStyle w:val="ListParagraph"/>
              <w:spacing w:line="400" w:lineRule="exact"/>
              <w:ind w:left="0"/>
              <w:jc w:val="center"/>
              <w:rPr>
                <w:sz w:val="24"/>
                <w:szCs w:val="24"/>
              </w:rPr>
            </w:pPr>
            <w:r w:rsidRPr="00071175">
              <w:rPr>
                <w:sz w:val="24"/>
                <w:szCs w:val="24"/>
              </w:rPr>
              <w:t xml:space="preserve">Yes  </w:t>
            </w:r>
            <w:sdt>
              <w:sdtPr>
                <w:rPr>
                  <w:sz w:val="28"/>
                  <w:szCs w:val="28"/>
                </w:rPr>
                <w:id w:val="32693462"/>
                <w14:checkbox>
                  <w14:checked w14:val="0"/>
                  <w14:checkedState w14:val="2612" w14:font="MS Gothic"/>
                  <w14:uncheckedState w14:val="2610" w14:font="MS Gothic"/>
                </w14:checkbox>
              </w:sdtPr>
              <w:sdtEndPr/>
              <w:sdtContent>
                <w:r w:rsidRPr="00071175">
                  <w:rPr>
                    <w:rFonts w:ascii="MS Gothic" w:eastAsia="MS Gothic" w:hAnsi="MS Gothic" w:hint="eastAsia"/>
                    <w:sz w:val="28"/>
                    <w:szCs w:val="28"/>
                  </w:rPr>
                  <w:t>☐</w:t>
                </w:r>
              </w:sdtContent>
            </w:sdt>
            <w:r w:rsidRPr="00071175">
              <w:rPr>
                <w:sz w:val="28"/>
                <w:szCs w:val="28"/>
              </w:rPr>
              <w:t xml:space="preserve">  </w:t>
            </w:r>
            <w:r w:rsidRPr="00071175">
              <w:rPr>
                <w:sz w:val="24"/>
                <w:szCs w:val="24"/>
              </w:rPr>
              <w:t xml:space="preserve">No  </w:t>
            </w:r>
            <w:sdt>
              <w:sdtPr>
                <w:rPr>
                  <w:sz w:val="28"/>
                  <w:szCs w:val="28"/>
                </w:rPr>
                <w:id w:val="1602689933"/>
                <w14:checkbox>
                  <w14:checked w14:val="0"/>
                  <w14:checkedState w14:val="2612" w14:font="MS Gothic"/>
                  <w14:uncheckedState w14:val="2610" w14:font="MS Gothic"/>
                </w14:checkbox>
              </w:sdtPr>
              <w:sdtEndPr/>
              <w:sdtContent>
                <w:r w:rsidR="00EA4803" w:rsidRPr="00071175">
                  <w:rPr>
                    <w:rFonts w:ascii="MS Gothic" w:eastAsia="MS Gothic" w:hAnsi="MS Gothic" w:hint="eastAsia"/>
                    <w:sz w:val="28"/>
                    <w:szCs w:val="28"/>
                  </w:rPr>
                  <w:t>☐</w:t>
                </w:r>
              </w:sdtContent>
            </w:sdt>
          </w:p>
          <w:p w:rsidR="00071175" w:rsidRPr="00071175" w:rsidRDefault="00071175" w:rsidP="00071175">
            <w:pPr>
              <w:pStyle w:val="ListParagraph"/>
              <w:ind w:left="0"/>
              <w:jc w:val="center"/>
              <w:rPr>
                <w:sz w:val="28"/>
                <w:szCs w:val="24"/>
              </w:rPr>
            </w:pPr>
          </w:p>
          <w:p w:rsidR="00B72A61" w:rsidRDefault="00B72A61" w:rsidP="00EA4803">
            <w:pPr>
              <w:pStyle w:val="ListParagraph"/>
              <w:spacing w:line="400" w:lineRule="exact"/>
              <w:ind w:left="0"/>
              <w:jc w:val="center"/>
              <w:rPr>
                <w:sz w:val="24"/>
                <w:szCs w:val="24"/>
              </w:rPr>
            </w:pPr>
            <w:r w:rsidRPr="00A76F69">
              <w:rPr>
                <w:sz w:val="24"/>
                <w:szCs w:val="24"/>
              </w:rPr>
              <w:t xml:space="preserve">Yes  </w:t>
            </w:r>
            <w:sdt>
              <w:sdtPr>
                <w:rPr>
                  <w:sz w:val="28"/>
                  <w:szCs w:val="28"/>
                </w:rPr>
                <w:id w:val="104718509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90356795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B72A61" w:rsidRPr="00071175" w:rsidRDefault="00B72A61" w:rsidP="00EA4803">
            <w:pPr>
              <w:pStyle w:val="ListParagraph"/>
              <w:spacing w:line="288" w:lineRule="auto"/>
              <w:ind w:left="0"/>
              <w:jc w:val="center"/>
              <w:rPr>
                <w:sz w:val="20"/>
                <w:szCs w:val="24"/>
              </w:rPr>
            </w:pPr>
          </w:p>
          <w:p w:rsidR="00B72A61" w:rsidRDefault="00B72A61" w:rsidP="00EA4803">
            <w:pPr>
              <w:pStyle w:val="ListParagraph"/>
              <w:spacing w:line="400" w:lineRule="exact"/>
              <w:ind w:left="0"/>
              <w:jc w:val="center"/>
              <w:rPr>
                <w:sz w:val="24"/>
                <w:szCs w:val="24"/>
              </w:rPr>
            </w:pPr>
            <w:r w:rsidRPr="00A76F69">
              <w:rPr>
                <w:sz w:val="24"/>
                <w:szCs w:val="24"/>
              </w:rPr>
              <w:t xml:space="preserve">Yes  </w:t>
            </w:r>
            <w:sdt>
              <w:sdtPr>
                <w:rPr>
                  <w:sz w:val="28"/>
                  <w:szCs w:val="28"/>
                </w:rPr>
                <w:id w:val="-90453131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27740549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B72A61" w:rsidRPr="00A3604B" w:rsidRDefault="00B72A61" w:rsidP="00EA4803">
            <w:pPr>
              <w:spacing w:line="288" w:lineRule="auto"/>
              <w:rPr>
                <w:rFonts w:ascii="Arial" w:eastAsia="Times New Roman" w:hAnsi="Arial" w:cs="Arial"/>
                <w:sz w:val="20"/>
                <w:szCs w:val="20"/>
                <w:lang w:eastAsia="en-GB"/>
              </w:rPr>
            </w:pPr>
            <w:r w:rsidRPr="00A3604B">
              <w:rPr>
                <w:rFonts w:ascii="Arial" w:eastAsia="Times New Roman" w:hAnsi="Arial" w:cs="Arial"/>
                <w:sz w:val="20"/>
                <w:szCs w:val="20"/>
                <w:lang w:eastAsia="en-GB"/>
              </w:rPr>
              <w:t xml:space="preserve"> </w:t>
            </w:r>
          </w:p>
        </w:tc>
      </w:tr>
      <w:tr w:rsidR="00B72A61" w:rsidTr="00DA4EF6">
        <w:trPr>
          <w:trHeight w:val="567"/>
        </w:trPr>
        <w:tc>
          <w:tcPr>
            <w:tcW w:w="10916" w:type="dxa"/>
            <w:gridSpan w:val="5"/>
            <w:tcBorders>
              <w:top w:val="dotted" w:sz="4" w:space="0" w:color="auto"/>
            </w:tcBorders>
          </w:tcPr>
          <w:p w:rsidR="00B72A61" w:rsidRPr="004F54BA" w:rsidRDefault="00B72A61" w:rsidP="00C30AD7">
            <w:pPr>
              <w:rPr>
                <w:sz w:val="20"/>
              </w:rPr>
            </w:pPr>
            <w:r w:rsidRPr="004F54BA">
              <w:rPr>
                <w:sz w:val="20"/>
              </w:rPr>
              <w:t>*</w:t>
            </w:r>
            <w:r>
              <w:rPr>
                <w:sz w:val="20"/>
              </w:rPr>
              <w:t xml:space="preserve"> </w:t>
            </w:r>
            <w:r w:rsidRPr="004F54BA">
              <w:rPr>
                <w:sz w:val="20"/>
              </w:rPr>
              <w:t>A clinically significant episode is determined as symptom duration of several days, which is disabling and prevents normal functioning (e.g. school or work loss, lost sleep and inability to eat).</w:t>
            </w:r>
          </w:p>
          <w:p w:rsidR="00B72A61" w:rsidRDefault="00B72A61" w:rsidP="00C30AD7">
            <w:pPr>
              <w:rPr>
                <w:sz w:val="20"/>
              </w:rPr>
            </w:pPr>
            <w:r w:rsidRPr="003706B3">
              <w:rPr>
                <w:sz w:val="20"/>
              </w:rPr>
              <w:t>** Adequately treated means treatment with antibiotics in cases of proven or suspected streptococcal infection.</w:t>
            </w:r>
          </w:p>
          <w:p w:rsidR="00B72A61" w:rsidRPr="0063638E" w:rsidRDefault="00B72A61" w:rsidP="00C30AD7">
            <w:pPr>
              <w:rPr>
                <w:rFonts w:ascii="Arial" w:eastAsia="Times New Roman" w:hAnsi="Arial" w:cs="Arial"/>
                <w:sz w:val="8"/>
                <w:szCs w:val="8"/>
                <w:lang w:eastAsia="en-GB"/>
              </w:rPr>
            </w:pPr>
          </w:p>
        </w:tc>
      </w:tr>
    </w:tbl>
    <w:tbl>
      <w:tblPr>
        <w:tblStyle w:val="TableGrid1"/>
        <w:tblW w:w="10916" w:type="dxa"/>
        <w:tblInd w:w="-743" w:type="dxa"/>
        <w:tblLook w:val="04A0" w:firstRow="1" w:lastRow="0" w:firstColumn="1" w:lastColumn="0" w:noHBand="0" w:noVBand="1"/>
      </w:tblPr>
      <w:tblGrid>
        <w:gridCol w:w="10916"/>
      </w:tblGrid>
      <w:tr w:rsidR="0056063A" w:rsidTr="00CA6C54">
        <w:tc>
          <w:tcPr>
            <w:tcW w:w="10916" w:type="dxa"/>
            <w:tcBorders>
              <w:top w:val="single" w:sz="4" w:space="0" w:color="auto"/>
              <w:left w:val="single" w:sz="4" w:space="0" w:color="auto"/>
              <w:bottom w:val="single" w:sz="4" w:space="0" w:color="auto"/>
              <w:right w:val="single" w:sz="4" w:space="0" w:color="auto"/>
            </w:tcBorders>
            <w:shd w:val="clear" w:color="auto" w:fill="5F497A" w:themeFill="accent4" w:themeFillShade="BF"/>
            <w:hideMark/>
          </w:tcPr>
          <w:p w:rsidR="0056063A" w:rsidRDefault="0056063A">
            <w:pPr>
              <w:rPr>
                <w:b/>
                <w:color w:val="FFFFFF" w:themeColor="background1"/>
                <w:sz w:val="28"/>
                <w:szCs w:val="28"/>
              </w:rPr>
            </w:pPr>
            <w:r>
              <w:rPr>
                <w:b/>
                <w:color w:val="FFFFFF" w:themeColor="background1"/>
                <w:sz w:val="28"/>
                <w:szCs w:val="28"/>
              </w:rPr>
              <w:t>EXAMINATION/PMH/DH/ALLERGIES</w:t>
            </w:r>
          </w:p>
        </w:tc>
      </w:tr>
      <w:tr w:rsidR="0056063A" w:rsidTr="00CA6C54">
        <w:tc>
          <w:tcPr>
            <w:tcW w:w="10916" w:type="dxa"/>
            <w:tcBorders>
              <w:top w:val="single" w:sz="4" w:space="0" w:color="auto"/>
              <w:left w:val="single" w:sz="4" w:space="0" w:color="auto"/>
              <w:bottom w:val="single" w:sz="4" w:space="0" w:color="auto"/>
              <w:right w:val="single" w:sz="4" w:space="0" w:color="auto"/>
            </w:tcBorders>
          </w:tcPr>
          <w:p w:rsidR="0056063A" w:rsidRDefault="0056063A">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p w:rsidR="00B90F6D" w:rsidRDefault="00B90F6D">
            <w:pPr>
              <w:rPr>
                <w:b/>
                <w:color w:val="FFFFFF" w:themeColor="background1"/>
                <w:szCs w:val="28"/>
              </w:rPr>
            </w:pPr>
          </w:p>
          <w:p w:rsidR="00B90F6D" w:rsidRDefault="00B90F6D">
            <w:pPr>
              <w:rPr>
                <w:b/>
                <w:color w:val="FFFFFF" w:themeColor="background1"/>
                <w:szCs w:val="28"/>
              </w:rPr>
            </w:pPr>
          </w:p>
          <w:p w:rsidR="0056063A" w:rsidRDefault="0056063A">
            <w:pPr>
              <w:rPr>
                <w:b/>
                <w:color w:val="FFFFFF" w:themeColor="background1"/>
                <w:szCs w:val="28"/>
              </w:rPr>
            </w:pPr>
          </w:p>
          <w:p w:rsidR="00CA6C54" w:rsidRDefault="00CA6C54">
            <w:pPr>
              <w:rPr>
                <w:b/>
                <w:color w:val="FFFFFF" w:themeColor="background1"/>
                <w:szCs w:val="28"/>
              </w:rPr>
            </w:pPr>
          </w:p>
          <w:p w:rsidR="00071175" w:rsidRDefault="00071175">
            <w:pPr>
              <w:rPr>
                <w:b/>
                <w:color w:val="FFFFFF" w:themeColor="background1"/>
                <w:szCs w:val="28"/>
              </w:rPr>
            </w:pPr>
          </w:p>
          <w:p w:rsidR="00071175" w:rsidRDefault="00071175">
            <w:pPr>
              <w:rPr>
                <w:b/>
                <w:color w:val="FFFFFF" w:themeColor="background1"/>
                <w:szCs w:val="28"/>
              </w:rPr>
            </w:pPr>
          </w:p>
          <w:p w:rsidR="00071175" w:rsidRDefault="00071175">
            <w:pPr>
              <w:rPr>
                <w:b/>
                <w:color w:val="FFFFFF" w:themeColor="background1"/>
                <w:szCs w:val="28"/>
              </w:rPr>
            </w:pPr>
          </w:p>
          <w:p w:rsidR="003D2AC2" w:rsidRDefault="003D2AC2">
            <w:pPr>
              <w:rPr>
                <w:b/>
                <w:color w:val="FFFFFF" w:themeColor="background1"/>
                <w:szCs w:val="28"/>
              </w:rPr>
            </w:pPr>
          </w:p>
          <w:p w:rsidR="003D2AC2" w:rsidRDefault="003D2AC2">
            <w:pPr>
              <w:rPr>
                <w:b/>
                <w:color w:val="FFFFFF" w:themeColor="background1"/>
                <w:szCs w:val="28"/>
              </w:rPr>
            </w:pPr>
          </w:p>
          <w:p w:rsidR="003D2AC2" w:rsidRDefault="003D2AC2">
            <w:pPr>
              <w:rPr>
                <w:b/>
                <w:color w:val="FFFFFF" w:themeColor="background1"/>
                <w:szCs w:val="28"/>
              </w:rPr>
            </w:pPr>
          </w:p>
          <w:p w:rsidR="00071175" w:rsidRDefault="00071175">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p w:rsidR="0056063A" w:rsidRDefault="0056063A">
            <w:pPr>
              <w:rPr>
                <w:b/>
                <w:color w:val="FFFFFF" w:themeColor="background1"/>
                <w:szCs w:val="28"/>
              </w:rPr>
            </w:pPr>
          </w:p>
        </w:tc>
      </w:tr>
    </w:tbl>
    <w:tbl>
      <w:tblPr>
        <w:tblStyle w:val="TableGrid"/>
        <w:tblW w:w="10916" w:type="dxa"/>
        <w:tblInd w:w="-743" w:type="dxa"/>
        <w:tblLook w:val="04A0" w:firstRow="1" w:lastRow="0" w:firstColumn="1" w:lastColumn="0" w:noHBand="0" w:noVBand="1"/>
      </w:tblPr>
      <w:tblGrid>
        <w:gridCol w:w="8931"/>
        <w:gridCol w:w="1985"/>
      </w:tblGrid>
      <w:tr w:rsidR="00B72A61" w:rsidRPr="0038182C" w:rsidTr="00DA4EF6">
        <w:trPr>
          <w:trHeight w:val="397"/>
        </w:trPr>
        <w:tc>
          <w:tcPr>
            <w:tcW w:w="10916" w:type="dxa"/>
            <w:gridSpan w:val="2"/>
            <w:shd w:val="clear" w:color="auto" w:fill="5F497A" w:themeFill="accent4" w:themeFillShade="BF"/>
            <w:vAlign w:val="center"/>
          </w:tcPr>
          <w:p w:rsidR="00B72A61" w:rsidRPr="0038182C" w:rsidRDefault="00B72A61" w:rsidP="0038182C">
            <w:pPr>
              <w:rPr>
                <w:b/>
                <w:color w:val="FFFFFF" w:themeColor="background1"/>
                <w:sz w:val="24"/>
                <w:szCs w:val="24"/>
              </w:rPr>
            </w:pPr>
            <w:r w:rsidRPr="00482838">
              <w:rPr>
                <w:b/>
                <w:color w:val="FFFFFF" w:themeColor="background1"/>
                <w:sz w:val="28"/>
                <w:szCs w:val="28"/>
              </w:rPr>
              <w:lastRenderedPageBreak/>
              <w:t>REFERRAL CRITERIA</w:t>
            </w:r>
          </w:p>
        </w:tc>
      </w:tr>
      <w:tr w:rsidR="00B72A61" w:rsidTr="003A5ED1">
        <w:trPr>
          <w:trHeight w:val="716"/>
        </w:trPr>
        <w:tc>
          <w:tcPr>
            <w:tcW w:w="8931" w:type="dxa"/>
            <w:vAlign w:val="center"/>
          </w:tcPr>
          <w:p w:rsidR="00B72A61" w:rsidRDefault="00427621" w:rsidP="003139BA">
            <w:r>
              <w:t xml:space="preserve">Are there any </w:t>
            </w:r>
            <w:proofErr w:type="gramStart"/>
            <w:r>
              <w:t>co-morbidities</w:t>
            </w:r>
            <w:proofErr w:type="gramEnd"/>
            <w:r>
              <w:t xml:space="preserve"> that need to be considered before surgery?</w:t>
            </w:r>
          </w:p>
          <w:p w:rsidR="003A5ED1" w:rsidRDefault="003A5ED1" w:rsidP="003139BA">
            <w:r>
              <w:t>(Please provide details above)</w:t>
            </w:r>
          </w:p>
        </w:tc>
        <w:tc>
          <w:tcPr>
            <w:tcW w:w="1985" w:type="dxa"/>
            <w:vAlign w:val="center"/>
          </w:tcPr>
          <w:p w:rsidR="00B72A61" w:rsidRPr="00A76F69" w:rsidRDefault="00B72A61" w:rsidP="003706B3">
            <w:pPr>
              <w:pStyle w:val="ListParagraph"/>
              <w:ind w:left="0"/>
              <w:rPr>
                <w:sz w:val="24"/>
                <w:szCs w:val="24"/>
              </w:rPr>
            </w:pPr>
            <w:r w:rsidRPr="00A76F69">
              <w:rPr>
                <w:sz w:val="24"/>
                <w:szCs w:val="24"/>
              </w:rPr>
              <w:t xml:space="preserve">Yes  </w:t>
            </w:r>
            <w:sdt>
              <w:sdtPr>
                <w:rPr>
                  <w:sz w:val="28"/>
                  <w:szCs w:val="28"/>
                </w:rPr>
                <w:id w:val="119404034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34367020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72A61" w:rsidTr="00071175">
        <w:trPr>
          <w:trHeight w:val="701"/>
        </w:trPr>
        <w:tc>
          <w:tcPr>
            <w:tcW w:w="8931" w:type="dxa"/>
            <w:vAlign w:val="center"/>
          </w:tcPr>
          <w:p w:rsidR="00B72A61" w:rsidRDefault="00F653A7" w:rsidP="003139BA">
            <w:r w:rsidRPr="00F653A7">
              <w:t>Have relevant co-morbidities been optimised as far as possible and the patient is willing to consider surgery at the time of referral?</w:t>
            </w:r>
          </w:p>
        </w:tc>
        <w:tc>
          <w:tcPr>
            <w:tcW w:w="1985" w:type="dxa"/>
            <w:vAlign w:val="center"/>
          </w:tcPr>
          <w:p w:rsidR="00B72A61" w:rsidRPr="00A76F69" w:rsidRDefault="00B72A61" w:rsidP="003706B3">
            <w:pPr>
              <w:pStyle w:val="ListParagraph"/>
              <w:ind w:left="0"/>
              <w:rPr>
                <w:sz w:val="24"/>
                <w:szCs w:val="24"/>
              </w:rPr>
            </w:pPr>
            <w:r w:rsidRPr="00A76F69">
              <w:rPr>
                <w:sz w:val="24"/>
                <w:szCs w:val="24"/>
              </w:rPr>
              <w:t xml:space="preserve">Yes  </w:t>
            </w:r>
            <w:sdt>
              <w:sdtPr>
                <w:rPr>
                  <w:sz w:val="28"/>
                  <w:szCs w:val="28"/>
                </w:rPr>
                <w:id w:val="-7726295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93990502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B72A61" w:rsidRPr="004F54BA" w:rsidTr="00DA4EF6">
        <w:tc>
          <w:tcPr>
            <w:tcW w:w="10916" w:type="dxa"/>
            <w:gridSpan w:val="2"/>
            <w:shd w:val="clear" w:color="auto" w:fill="5F497A" w:themeFill="accent4" w:themeFillShade="BF"/>
          </w:tcPr>
          <w:p w:rsidR="00B72A61" w:rsidRPr="004F54BA" w:rsidRDefault="00B72A61" w:rsidP="00384120">
            <w:pPr>
              <w:rPr>
                <w:b/>
                <w:color w:val="FFFFFF" w:themeColor="background1"/>
                <w:sz w:val="24"/>
                <w:szCs w:val="28"/>
              </w:rPr>
            </w:pPr>
            <w:r w:rsidRPr="00813A71">
              <w:rPr>
                <w:b/>
                <w:color w:val="FFFFFF" w:themeColor="background1"/>
                <w:sz w:val="28"/>
                <w:szCs w:val="28"/>
              </w:rPr>
              <w:t>PATIENTS NOT MEETING THE POLICY</w:t>
            </w:r>
          </w:p>
        </w:tc>
      </w:tr>
      <w:tr w:rsidR="00C30AD7" w:rsidRPr="004F54BA" w:rsidTr="00DA4EF6">
        <w:tc>
          <w:tcPr>
            <w:tcW w:w="10916" w:type="dxa"/>
            <w:gridSpan w:val="2"/>
            <w:shd w:val="clear" w:color="auto" w:fill="E5DFEC" w:themeFill="accent4" w:themeFillTint="33"/>
          </w:tcPr>
          <w:p w:rsidR="00C30AD7" w:rsidRPr="004F54BA" w:rsidRDefault="00C30AD7" w:rsidP="002B4C5F">
            <w:pPr>
              <w:rPr>
                <w:sz w:val="6"/>
                <w:szCs w:val="8"/>
              </w:rPr>
            </w:pPr>
          </w:p>
          <w:p w:rsidR="00C30AD7" w:rsidRPr="004F54BA" w:rsidRDefault="00C30AD7" w:rsidP="002B4C5F">
            <w:pPr>
              <w:rPr>
                <w:szCs w:val="24"/>
              </w:rPr>
            </w:pPr>
            <w:r w:rsidRPr="004F54BA">
              <w:rPr>
                <w:szCs w:val="24"/>
              </w:rPr>
              <w:t xml:space="preserve">For patients who do not fall within the eligibility criteria set out in the policy but where there is demonstrable evidence that the patient has clinically exceptional circumstances, an Individual Funding Request may be considered. The referring clinician should consult the Commissioner’s “Operational Policy for Individual Funding Requests” document for further guidance on this process. </w:t>
            </w:r>
          </w:p>
          <w:p w:rsidR="00C30AD7" w:rsidRDefault="00C04C49" w:rsidP="002B4C5F">
            <w:hyperlink r:id="rId10" w:history="1">
              <w:r w:rsidR="00C30AD7" w:rsidRPr="00E024FE">
                <w:rPr>
                  <w:rStyle w:val="Hyperlink"/>
                </w:rPr>
                <w:t>http://www.redditchandbromsgroveccg.nhs.uk/strategies-policies-and-procedures/commissioning-ifr-policies-a-z/</w:t>
              </w:r>
            </w:hyperlink>
          </w:p>
          <w:p w:rsidR="00C30AD7" w:rsidRPr="004F54BA" w:rsidRDefault="00C30AD7" w:rsidP="002B4C5F">
            <w:pPr>
              <w:rPr>
                <w:sz w:val="2"/>
                <w:szCs w:val="4"/>
              </w:rPr>
            </w:pPr>
          </w:p>
          <w:p w:rsidR="00C30AD7" w:rsidRPr="004F54BA" w:rsidRDefault="00C30AD7" w:rsidP="002B4C5F">
            <w:pPr>
              <w:rPr>
                <w:sz w:val="6"/>
                <w:szCs w:val="8"/>
              </w:rPr>
            </w:pPr>
          </w:p>
        </w:tc>
      </w:tr>
    </w:tbl>
    <w:p w:rsidR="00F1369C" w:rsidRDefault="00F1369C" w:rsidP="0021150D"/>
    <w:sectPr w:rsidR="00F1369C" w:rsidSect="00CA6C54">
      <w:headerReference w:type="default" r:id="rId11"/>
      <w:footerReference w:type="default" r:id="rId12"/>
      <w:headerReference w:type="first" r:id="rId13"/>
      <w:pgSz w:w="11906" w:h="16838"/>
      <w:pgMar w:top="1276" w:right="566" w:bottom="567" w:left="1440" w:header="426"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49" w:rsidRDefault="00C04C49" w:rsidP="0038182C">
      <w:pPr>
        <w:spacing w:after="0" w:line="240" w:lineRule="auto"/>
      </w:pPr>
      <w:r>
        <w:separator/>
      </w:r>
    </w:p>
  </w:endnote>
  <w:endnote w:type="continuationSeparator" w:id="0">
    <w:p w:rsidR="00C04C49" w:rsidRDefault="00C04C49" w:rsidP="0038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6D" w:rsidRDefault="00B90F6D" w:rsidP="00B90F6D">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sidR="00BC65FC">
      <w:rPr>
        <w:b/>
        <w:noProof/>
      </w:rPr>
      <w:t>2</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sidR="00BC65FC">
      <w:rPr>
        <w:b/>
        <w:noProof/>
      </w:rPr>
      <w:t>2</w:t>
    </w:r>
    <w:r w:rsidRPr="00E51731">
      <w:rPr>
        <w:b/>
      </w:rPr>
      <w:fldChar w:fldCharType="end"/>
    </w:r>
  </w:p>
  <w:p w:rsidR="00384120" w:rsidRPr="00B90F6D" w:rsidRDefault="00B90F6D" w:rsidP="00B90F6D">
    <w:pPr>
      <w:pStyle w:val="Footer"/>
      <w:jc w:val="right"/>
    </w:pPr>
    <w:r>
      <w:rPr>
        <w:b/>
      </w:rPr>
      <w:t xml:space="preserve">Worcestershire CCGs </w:t>
    </w:r>
    <w:r w:rsidRPr="00E51731">
      <w:rPr>
        <w:b/>
      </w:rPr>
      <w:t xml:space="preserve">Referral Form – </w:t>
    </w:r>
    <w:r w:rsidR="00234EC1">
      <w:rPr>
        <w:b/>
      </w:rPr>
      <w:t>Tonsillectomy</w:t>
    </w:r>
    <w:r w:rsidRPr="00E51731">
      <w:rPr>
        <w:b/>
      </w:rPr>
      <w:t xml:space="preserve"> V2</w:t>
    </w:r>
    <w:r w:rsidR="00234EC1">
      <w:rPr>
        <w:b/>
      </w:rPr>
      <w:t>.2</w:t>
    </w:r>
    <w:r w:rsidRPr="00E51731">
      <w:rPr>
        <w:b/>
      </w:rPr>
      <w:t xml:space="preserve"> </w:t>
    </w:r>
    <w:r w:rsidR="00234EC1">
      <w:rPr>
        <w:b/>
      </w:rPr>
      <w:t>June</w:t>
    </w:r>
    <w:r w:rsidRPr="00E51731">
      <w:rPr>
        <w:b/>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49" w:rsidRDefault="00C04C49" w:rsidP="0038182C">
      <w:pPr>
        <w:spacing w:after="0" w:line="240" w:lineRule="auto"/>
      </w:pPr>
      <w:r>
        <w:separator/>
      </w:r>
    </w:p>
  </w:footnote>
  <w:footnote w:type="continuationSeparator" w:id="0">
    <w:p w:rsidR="00C04C49" w:rsidRDefault="00C04C49" w:rsidP="0038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D7" w:rsidRDefault="00C30AD7" w:rsidP="00A3604B">
    <w:pPr>
      <w:pStyle w:val="Header"/>
      <w:jc w:val="right"/>
    </w:pPr>
  </w:p>
  <w:p w:rsidR="00384120" w:rsidRPr="00C30AD7" w:rsidRDefault="00384120" w:rsidP="00C30AD7">
    <w:pPr>
      <w:pStyle w:val="Heade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Look w:val="04A0" w:firstRow="1" w:lastRow="0" w:firstColumn="1" w:lastColumn="0" w:noHBand="0" w:noVBand="1"/>
    </w:tblPr>
    <w:tblGrid>
      <w:gridCol w:w="2919"/>
      <w:gridCol w:w="2920"/>
      <w:gridCol w:w="2921"/>
    </w:tblGrid>
    <w:tr w:rsidR="00CA6C54" w:rsidRPr="00220F0D" w:rsidTr="006E3B1F">
      <w:tc>
        <w:tcPr>
          <w:tcW w:w="2919" w:type="dxa"/>
          <w:hideMark/>
        </w:tcPr>
        <w:p w:rsidR="00CA6C54" w:rsidRPr="00220F0D" w:rsidRDefault="00CA6C54" w:rsidP="006E3B1F">
          <w:pPr>
            <w:keepNext/>
            <w:jc w:val="center"/>
            <w:outlineLvl w:val="0"/>
            <w:rPr>
              <w:rFonts w:ascii="Arial" w:hAnsi="Arial"/>
              <w:b/>
              <w:bCs/>
              <w:noProof/>
              <w:lang w:val="x-none"/>
            </w:rPr>
          </w:pPr>
          <w:r>
            <w:rPr>
              <w:rFonts w:ascii="Arial" w:hAnsi="Arial"/>
              <w:b/>
              <w:bCs/>
              <w:noProof/>
              <w:lang w:eastAsia="en-GB"/>
            </w:rPr>
            <w:drawing>
              <wp:inline distT="0" distB="0" distL="0" distR="0" wp14:anchorId="545F5A81" wp14:editId="691FE126">
                <wp:extent cx="1673225" cy="474345"/>
                <wp:effectExtent l="0" t="0" r="3175" b="1905"/>
                <wp:docPr id="7" name="Picture 7" descr="Redditch and Bromsgrov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and Bromsgrove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p>
      </w:tc>
      <w:tc>
        <w:tcPr>
          <w:tcW w:w="2920" w:type="dxa"/>
          <w:hideMark/>
        </w:tcPr>
        <w:p w:rsidR="00CA6C54" w:rsidRPr="00220F0D" w:rsidRDefault="00CA6C54" w:rsidP="006E3B1F">
          <w:pPr>
            <w:keepNext/>
            <w:jc w:val="center"/>
            <w:outlineLvl w:val="0"/>
            <w:rPr>
              <w:rFonts w:ascii="Arial" w:hAnsi="Arial"/>
              <w:b/>
              <w:bCs/>
              <w:noProof/>
              <w:lang w:val="x-none"/>
            </w:rPr>
          </w:pPr>
          <w:r>
            <w:rPr>
              <w:rFonts w:ascii="Arial" w:hAnsi="Arial"/>
              <w:b/>
              <w:bCs/>
              <w:noProof/>
              <w:lang w:eastAsia="en-GB"/>
            </w:rPr>
            <w:drawing>
              <wp:inline distT="0" distB="0" distL="0" distR="0" wp14:anchorId="070D6A4A" wp14:editId="28B3598C">
                <wp:extent cx="1708150" cy="474345"/>
                <wp:effectExtent l="0" t="0" r="6350" b="1905"/>
                <wp:docPr id="8" name="Picture 8" descr="South Worcestershir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orcestershire CCG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p>
      </w:tc>
      <w:tc>
        <w:tcPr>
          <w:tcW w:w="2921" w:type="dxa"/>
          <w:hideMark/>
        </w:tcPr>
        <w:p w:rsidR="00CA6C54" w:rsidRPr="00220F0D" w:rsidRDefault="00CA6C54" w:rsidP="006E3B1F">
          <w:pPr>
            <w:keepNext/>
            <w:ind w:right="-108"/>
            <w:jc w:val="center"/>
            <w:outlineLvl w:val="0"/>
            <w:rPr>
              <w:rFonts w:ascii="Arial" w:hAnsi="Arial"/>
              <w:b/>
              <w:bCs/>
              <w:noProof/>
            </w:rPr>
          </w:pPr>
          <w:r>
            <w:rPr>
              <w:rFonts w:ascii="Arial" w:hAnsi="Arial"/>
              <w:b/>
              <w:bCs/>
              <w:noProof/>
              <w:lang w:eastAsia="en-GB"/>
            </w:rPr>
            <w:drawing>
              <wp:inline distT="0" distB="0" distL="0" distR="0" wp14:anchorId="037F2056" wp14:editId="3F0839DE">
                <wp:extent cx="1734185" cy="509270"/>
                <wp:effectExtent l="0" t="0" r="0" b="5080"/>
                <wp:docPr id="9" name="Picture 9" descr="Wyre Fores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p>
      </w:tc>
    </w:tr>
  </w:tbl>
  <w:p w:rsidR="00F1369C" w:rsidRDefault="00F13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8F2"/>
    <w:multiLevelType w:val="hybridMultilevel"/>
    <w:tmpl w:val="8B908964"/>
    <w:lvl w:ilvl="0" w:tplc="EE5CD338">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91629"/>
    <w:multiLevelType w:val="hybridMultilevel"/>
    <w:tmpl w:val="B7AE21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8E2B40"/>
    <w:multiLevelType w:val="hybridMultilevel"/>
    <w:tmpl w:val="E82A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5420D3"/>
    <w:multiLevelType w:val="hybridMultilevel"/>
    <w:tmpl w:val="D5886D20"/>
    <w:lvl w:ilvl="0" w:tplc="A930023A">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2A0A8D"/>
    <w:multiLevelType w:val="hybridMultilevel"/>
    <w:tmpl w:val="64487CF0"/>
    <w:lvl w:ilvl="0" w:tplc="9F0C20D6">
      <w:start w:val="4"/>
      <w:numFmt w:val="bullet"/>
      <w:lvlText w:val=""/>
      <w:lvlJc w:val="left"/>
      <w:pPr>
        <w:ind w:left="720" w:hanging="360"/>
      </w:pPr>
      <w:rPr>
        <w:rFonts w:ascii="Wingdings" w:eastAsiaTheme="minorHAnsi" w:hAnsi="Wingdings" w:cstheme="minorBidi" w:hint="default"/>
        <w:b/>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140155"/>
    <w:multiLevelType w:val="hybridMultilevel"/>
    <w:tmpl w:val="9BB0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FB55BC"/>
    <w:multiLevelType w:val="hybridMultilevel"/>
    <w:tmpl w:val="659ECFE0"/>
    <w:lvl w:ilvl="0" w:tplc="3A9CD73C">
      <w:start w:val="1"/>
      <w:numFmt w:val="bullet"/>
      <w:lvlText w:val=""/>
      <w:lvlJc w:val="left"/>
      <w:pPr>
        <w:ind w:left="1506" w:hanging="360"/>
      </w:pPr>
      <w:rPr>
        <w:rFonts w:ascii="Symbol" w:hAnsi="Symbol" w:hint="default"/>
        <w:sz w:val="28"/>
        <w:szCs w:val="28"/>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nsid w:val="5DD75656"/>
    <w:multiLevelType w:val="hybridMultilevel"/>
    <w:tmpl w:val="23DC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9B07FB"/>
    <w:multiLevelType w:val="hybridMultilevel"/>
    <w:tmpl w:val="81A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C30F1"/>
    <w:multiLevelType w:val="hybridMultilevel"/>
    <w:tmpl w:val="9F3C2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7"/>
  </w:num>
  <w:num w:numId="6">
    <w:abstractNumId w:val="3"/>
  </w:num>
  <w:num w:numId="7">
    <w:abstractNumId w:val="0"/>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C"/>
    <w:rsid w:val="00071175"/>
    <w:rsid w:val="000C30DD"/>
    <w:rsid w:val="0010464C"/>
    <w:rsid w:val="00160763"/>
    <w:rsid w:val="0021150D"/>
    <w:rsid w:val="00234EC1"/>
    <w:rsid w:val="0025245E"/>
    <w:rsid w:val="002F13BE"/>
    <w:rsid w:val="00310A22"/>
    <w:rsid w:val="003139BA"/>
    <w:rsid w:val="003706B3"/>
    <w:rsid w:val="00371EC7"/>
    <w:rsid w:val="0038182C"/>
    <w:rsid w:val="00382D6F"/>
    <w:rsid w:val="00384120"/>
    <w:rsid w:val="003A5ED1"/>
    <w:rsid w:val="003D2AC2"/>
    <w:rsid w:val="0041620E"/>
    <w:rsid w:val="0042713A"/>
    <w:rsid w:val="00427621"/>
    <w:rsid w:val="00482838"/>
    <w:rsid w:val="004C01C3"/>
    <w:rsid w:val="0056063A"/>
    <w:rsid w:val="005A4B3F"/>
    <w:rsid w:val="0063638E"/>
    <w:rsid w:val="006D7D81"/>
    <w:rsid w:val="0073406F"/>
    <w:rsid w:val="0075363A"/>
    <w:rsid w:val="007D7F0B"/>
    <w:rsid w:val="00831AB3"/>
    <w:rsid w:val="00833EEC"/>
    <w:rsid w:val="00845507"/>
    <w:rsid w:val="008A383B"/>
    <w:rsid w:val="009B0F94"/>
    <w:rsid w:val="00A3604B"/>
    <w:rsid w:val="00A6351C"/>
    <w:rsid w:val="00A76F69"/>
    <w:rsid w:val="00AC361F"/>
    <w:rsid w:val="00B0515C"/>
    <w:rsid w:val="00B72A61"/>
    <w:rsid w:val="00B90F6D"/>
    <w:rsid w:val="00B96842"/>
    <w:rsid w:val="00BC65FC"/>
    <w:rsid w:val="00C04C49"/>
    <w:rsid w:val="00C30AD7"/>
    <w:rsid w:val="00CA6C54"/>
    <w:rsid w:val="00CE119B"/>
    <w:rsid w:val="00DA4EF6"/>
    <w:rsid w:val="00DC14EA"/>
    <w:rsid w:val="00EA4803"/>
    <w:rsid w:val="00EA518E"/>
    <w:rsid w:val="00F1369C"/>
    <w:rsid w:val="00F653A7"/>
    <w:rsid w:val="00FE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CommentReference">
    <w:name w:val="annotation reference"/>
    <w:basedOn w:val="DefaultParagraphFont"/>
    <w:uiPriority w:val="99"/>
    <w:semiHidden/>
    <w:unhideWhenUsed/>
    <w:rsid w:val="00B0515C"/>
    <w:rPr>
      <w:sz w:val="16"/>
      <w:szCs w:val="16"/>
    </w:rPr>
  </w:style>
  <w:style w:type="paragraph" w:styleId="CommentText">
    <w:name w:val="annotation text"/>
    <w:basedOn w:val="Normal"/>
    <w:link w:val="CommentTextChar"/>
    <w:uiPriority w:val="99"/>
    <w:semiHidden/>
    <w:unhideWhenUsed/>
    <w:rsid w:val="00B0515C"/>
    <w:pPr>
      <w:spacing w:line="240" w:lineRule="auto"/>
    </w:pPr>
    <w:rPr>
      <w:sz w:val="20"/>
      <w:szCs w:val="20"/>
    </w:rPr>
  </w:style>
  <w:style w:type="character" w:customStyle="1" w:styleId="CommentTextChar">
    <w:name w:val="Comment Text Char"/>
    <w:basedOn w:val="DefaultParagraphFont"/>
    <w:link w:val="CommentText"/>
    <w:uiPriority w:val="99"/>
    <w:semiHidden/>
    <w:rsid w:val="00B0515C"/>
    <w:rPr>
      <w:sz w:val="20"/>
      <w:szCs w:val="20"/>
    </w:rPr>
  </w:style>
  <w:style w:type="paragraph" w:styleId="CommentSubject">
    <w:name w:val="annotation subject"/>
    <w:basedOn w:val="CommentText"/>
    <w:next w:val="CommentText"/>
    <w:link w:val="CommentSubjectChar"/>
    <w:uiPriority w:val="99"/>
    <w:semiHidden/>
    <w:unhideWhenUsed/>
    <w:rsid w:val="00B0515C"/>
    <w:rPr>
      <w:b/>
      <w:bCs/>
    </w:rPr>
  </w:style>
  <w:style w:type="character" w:customStyle="1" w:styleId="CommentSubjectChar">
    <w:name w:val="Comment Subject Char"/>
    <w:basedOn w:val="CommentTextChar"/>
    <w:link w:val="CommentSubject"/>
    <w:uiPriority w:val="99"/>
    <w:semiHidden/>
    <w:rsid w:val="00B0515C"/>
    <w:rPr>
      <w:b/>
      <w:bCs/>
      <w:sz w:val="20"/>
      <w:szCs w:val="20"/>
    </w:rPr>
  </w:style>
  <w:style w:type="table" w:customStyle="1" w:styleId="TableGrid1">
    <w:name w:val="Table Grid1"/>
    <w:basedOn w:val="TableNormal"/>
    <w:next w:val="TableGrid"/>
    <w:uiPriority w:val="59"/>
    <w:rsid w:val="0056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CommentReference">
    <w:name w:val="annotation reference"/>
    <w:basedOn w:val="DefaultParagraphFont"/>
    <w:uiPriority w:val="99"/>
    <w:semiHidden/>
    <w:unhideWhenUsed/>
    <w:rsid w:val="00B0515C"/>
    <w:rPr>
      <w:sz w:val="16"/>
      <w:szCs w:val="16"/>
    </w:rPr>
  </w:style>
  <w:style w:type="paragraph" w:styleId="CommentText">
    <w:name w:val="annotation text"/>
    <w:basedOn w:val="Normal"/>
    <w:link w:val="CommentTextChar"/>
    <w:uiPriority w:val="99"/>
    <w:semiHidden/>
    <w:unhideWhenUsed/>
    <w:rsid w:val="00B0515C"/>
    <w:pPr>
      <w:spacing w:line="240" w:lineRule="auto"/>
    </w:pPr>
    <w:rPr>
      <w:sz w:val="20"/>
      <w:szCs w:val="20"/>
    </w:rPr>
  </w:style>
  <w:style w:type="character" w:customStyle="1" w:styleId="CommentTextChar">
    <w:name w:val="Comment Text Char"/>
    <w:basedOn w:val="DefaultParagraphFont"/>
    <w:link w:val="CommentText"/>
    <w:uiPriority w:val="99"/>
    <w:semiHidden/>
    <w:rsid w:val="00B0515C"/>
    <w:rPr>
      <w:sz w:val="20"/>
      <w:szCs w:val="20"/>
    </w:rPr>
  </w:style>
  <w:style w:type="paragraph" w:styleId="CommentSubject">
    <w:name w:val="annotation subject"/>
    <w:basedOn w:val="CommentText"/>
    <w:next w:val="CommentText"/>
    <w:link w:val="CommentSubjectChar"/>
    <w:uiPriority w:val="99"/>
    <w:semiHidden/>
    <w:unhideWhenUsed/>
    <w:rsid w:val="00B0515C"/>
    <w:rPr>
      <w:b/>
      <w:bCs/>
    </w:rPr>
  </w:style>
  <w:style w:type="character" w:customStyle="1" w:styleId="CommentSubjectChar">
    <w:name w:val="Comment Subject Char"/>
    <w:basedOn w:val="CommentTextChar"/>
    <w:link w:val="CommentSubject"/>
    <w:uiPriority w:val="99"/>
    <w:semiHidden/>
    <w:rsid w:val="00B0515C"/>
    <w:rPr>
      <w:b/>
      <w:bCs/>
      <w:sz w:val="20"/>
      <w:szCs w:val="20"/>
    </w:rPr>
  </w:style>
  <w:style w:type="table" w:customStyle="1" w:styleId="TableGrid1">
    <w:name w:val="Table Grid1"/>
    <w:basedOn w:val="TableNormal"/>
    <w:next w:val="TableGrid"/>
    <w:uiPriority w:val="59"/>
    <w:rsid w:val="00560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59960">
      <w:bodyDiv w:val="1"/>
      <w:marLeft w:val="0"/>
      <w:marRight w:val="0"/>
      <w:marTop w:val="0"/>
      <w:marBottom w:val="0"/>
      <w:divBdr>
        <w:top w:val="none" w:sz="0" w:space="0" w:color="auto"/>
        <w:left w:val="none" w:sz="0" w:space="0" w:color="auto"/>
        <w:bottom w:val="none" w:sz="0" w:space="0" w:color="auto"/>
        <w:right w:val="none" w:sz="0" w:space="0" w:color="auto"/>
      </w:divBdr>
    </w:div>
    <w:div w:id="9757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dditchandbromsgroveccg.nhs.uk/strategies-policies-and-procedures/commissioning-ifr-policies-a-z/" TargetMode="External"/><Relationship Id="rId4" Type="http://schemas.microsoft.com/office/2007/relationships/stylesWithEffects" Target="stylesWithEffects.xml"/><Relationship Id="rId9" Type="http://schemas.openxmlformats.org/officeDocument/2006/relationships/hyperlink" Target="http://www.redditchandbromsgroveccg.nhs.uk/about-us/strategies-policies-and-procedures/commissioning-ifr/?assetdet1029359=3930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853C-5E41-4317-AE46-60F4D5E7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Fiona (Pharmacy)</dc:creator>
  <cp:lastModifiedBy>Gartland, Emma (Med Recs- Appointmts Alex)</cp:lastModifiedBy>
  <cp:revision>2</cp:revision>
  <dcterms:created xsi:type="dcterms:W3CDTF">2017-08-22T07:49:00Z</dcterms:created>
  <dcterms:modified xsi:type="dcterms:W3CDTF">2017-08-22T07:49:00Z</dcterms:modified>
</cp:coreProperties>
</file>